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1E051" w14:textId="55E61C8D" w:rsidR="003300C5" w:rsidRPr="00636F59" w:rsidRDefault="00783443">
      <w:pPr>
        <w:pStyle w:val="GvdeMetni"/>
        <w:spacing w:before="70"/>
        <w:ind w:left="116" w:right="4981"/>
        <w:jc w:val="both"/>
      </w:pPr>
      <w:r>
        <w:t xml:space="preserve">(Senate Resolution dated 28.06.2024 no. 7) (Senate Resolution dated 10.01.2023 no. 01) (Senate Resolution dated 07.12.2021 no. 16) (Senate Resolution dated 18.12.2019 no. 10) (Senate Resolution dated 05.02.2019 no. 02) (Senate Resolution dated 14.03.2017 no. 03)  </w:t>
      </w:r>
    </w:p>
    <w:p w14:paraId="06D7600A" w14:textId="77777777" w:rsidR="003300C5" w:rsidRPr="00636F59" w:rsidRDefault="003300C5">
      <w:pPr>
        <w:pStyle w:val="GvdeMetni"/>
        <w:spacing w:before="5"/>
      </w:pPr>
    </w:p>
    <w:p w14:paraId="0F8C2698" w14:textId="77777777" w:rsidR="003300C5" w:rsidRPr="00636F59" w:rsidRDefault="00066666">
      <w:pPr>
        <w:pStyle w:val="Balk1"/>
        <w:spacing w:line="240" w:lineRule="auto"/>
        <w:ind w:left="1008" w:right="1008"/>
      </w:pPr>
      <w:r>
        <w:t>ATILIM UNIVERSITY</w:t>
      </w:r>
    </w:p>
    <w:p w14:paraId="0EB14939" w14:textId="77777777" w:rsidR="003300C5" w:rsidRPr="00636F59" w:rsidRDefault="00066666">
      <w:pPr>
        <w:spacing w:before="3"/>
        <w:ind w:left="1008" w:right="1009"/>
        <w:jc w:val="center"/>
        <w:rPr>
          <w:b/>
          <w:sz w:val="24"/>
          <w:szCs w:val="24"/>
        </w:rPr>
      </w:pPr>
      <w:r>
        <w:rPr>
          <w:b/>
          <w:sz w:val="24"/>
          <w:szCs w:val="24"/>
        </w:rPr>
        <w:t>DIRECTIVE ON DOUBLE MAJOR PROGRAMS</w:t>
      </w:r>
    </w:p>
    <w:p w14:paraId="4252C56E" w14:textId="77777777" w:rsidR="003300C5" w:rsidRPr="00636F59" w:rsidRDefault="003300C5">
      <w:pPr>
        <w:pStyle w:val="GvdeMetni"/>
        <w:spacing w:before="11"/>
        <w:rPr>
          <w:b/>
        </w:rPr>
      </w:pPr>
    </w:p>
    <w:p w14:paraId="7C6CEFDD" w14:textId="77777777" w:rsidR="003300C5" w:rsidRPr="00636F59" w:rsidRDefault="00066666">
      <w:pPr>
        <w:pStyle w:val="Balk1"/>
        <w:ind w:left="1008" w:right="1008"/>
      </w:pPr>
      <w:r>
        <w:t>SECTION ONE</w:t>
      </w:r>
    </w:p>
    <w:p w14:paraId="7A3AE87E" w14:textId="77777777" w:rsidR="003300C5" w:rsidRPr="00636F59" w:rsidRDefault="00066666">
      <w:pPr>
        <w:spacing w:line="275" w:lineRule="exact"/>
        <w:ind w:left="1008" w:right="1006"/>
        <w:jc w:val="center"/>
        <w:rPr>
          <w:b/>
          <w:sz w:val="24"/>
          <w:szCs w:val="24"/>
        </w:rPr>
      </w:pPr>
      <w:r>
        <w:rPr>
          <w:b/>
          <w:sz w:val="24"/>
          <w:szCs w:val="24"/>
        </w:rPr>
        <w:t>Purpose-Scope-Basis</w:t>
      </w:r>
    </w:p>
    <w:p w14:paraId="3EA9AE16" w14:textId="77777777" w:rsidR="003300C5" w:rsidRPr="00636F59" w:rsidRDefault="00066666">
      <w:pPr>
        <w:pStyle w:val="Balk1"/>
        <w:jc w:val="left"/>
      </w:pPr>
      <w:r>
        <w:t>Purpose</w:t>
      </w:r>
    </w:p>
    <w:p w14:paraId="0E884C79" w14:textId="77777777" w:rsidR="003300C5" w:rsidRPr="00636F59" w:rsidRDefault="00066666">
      <w:pPr>
        <w:ind w:left="116" w:right="111" w:firstLine="706"/>
        <w:jc w:val="both"/>
        <w:rPr>
          <w:sz w:val="24"/>
          <w:szCs w:val="24"/>
        </w:rPr>
      </w:pPr>
      <w:r>
        <w:rPr>
          <w:b/>
          <w:sz w:val="24"/>
          <w:szCs w:val="24"/>
        </w:rPr>
        <w:t xml:space="preserve">ARTICLE 1 </w:t>
      </w:r>
      <w:r>
        <w:rPr>
          <w:sz w:val="24"/>
          <w:szCs w:val="24"/>
        </w:rPr>
        <w:t xml:space="preserve">- (1) The aim of double major programs is to ensure that students who pursue their undergraduate </w:t>
      </w:r>
      <w:r>
        <w:rPr>
          <w:b/>
          <w:sz w:val="24"/>
          <w:szCs w:val="24"/>
        </w:rPr>
        <w:t>(Senate Resolution dated 07.12.2021 no. 16)</w:t>
      </w:r>
      <w:r>
        <w:rPr>
          <w:sz w:val="24"/>
          <w:szCs w:val="24"/>
        </w:rPr>
        <w:t xml:space="preserve"> or associate degree studies in their departments successfully have the opportunity to pursue a second major </w:t>
      </w:r>
      <w:r>
        <w:rPr>
          <w:b/>
          <w:sz w:val="24"/>
          <w:szCs w:val="24"/>
        </w:rPr>
        <w:t>(Senate Resolution dated 07.12.2021 no. 16)</w:t>
      </w:r>
      <w:r>
        <w:rPr>
          <w:sz w:val="24"/>
          <w:szCs w:val="24"/>
        </w:rPr>
        <w:t xml:space="preserve"> under another program at the University at the same time in order to receive a second undergraduate/ associate degree.</w:t>
      </w:r>
    </w:p>
    <w:p w14:paraId="1DEA8691" w14:textId="77777777" w:rsidR="003300C5" w:rsidRPr="00636F59" w:rsidRDefault="003300C5">
      <w:pPr>
        <w:pStyle w:val="GvdeMetni"/>
        <w:spacing w:before="4"/>
      </w:pPr>
    </w:p>
    <w:p w14:paraId="49391C87" w14:textId="77777777" w:rsidR="003300C5" w:rsidRPr="00636F59" w:rsidRDefault="00066666">
      <w:pPr>
        <w:pStyle w:val="Balk1"/>
        <w:spacing w:before="1" w:line="272" w:lineRule="exact"/>
        <w:jc w:val="left"/>
      </w:pPr>
      <w:r>
        <w:t>Scope</w:t>
      </w:r>
    </w:p>
    <w:p w14:paraId="2F083532" w14:textId="77777777" w:rsidR="003300C5" w:rsidRPr="00636F59" w:rsidRDefault="00066666">
      <w:pPr>
        <w:ind w:left="116" w:right="110" w:firstLine="706"/>
        <w:jc w:val="both"/>
        <w:rPr>
          <w:sz w:val="24"/>
          <w:szCs w:val="24"/>
        </w:rPr>
      </w:pPr>
      <w:r>
        <w:rPr>
          <w:b/>
          <w:sz w:val="24"/>
          <w:szCs w:val="24"/>
        </w:rPr>
        <w:t>ARTICLE 2</w:t>
      </w:r>
      <w:r>
        <w:rPr>
          <w:sz w:val="24"/>
          <w:szCs w:val="24"/>
        </w:rPr>
        <w:t xml:space="preserve"> - (1) This Directive covers the provisions concerning the conditions for application and admission, education, success and graduation for Atılım University </w:t>
      </w:r>
      <w:r>
        <w:rPr>
          <w:b/>
          <w:sz w:val="24"/>
          <w:szCs w:val="24"/>
        </w:rPr>
        <w:t>(Senate Resolution dated 07.12.2021 no. 16)</w:t>
      </w:r>
      <w:r>
        <w:rPr>
          <w:sz w:val="24"/>
          <w:szCs w:val="24"/>
        </w:rPr>
        <w:t xml:space="preserve"> students pursuing double major programs.</w:t>
      </w:r>
    </w:p>
    <w:p w14:paraId="68ED83F2" w14:textId="77777777" w:rsidR="003300C5" w:rsidRPr="00636F59" w:rsidRDefault="003300C5">
      <w:pPr>
        <w:pStyle w:val="GvdeMetni"/>
        <w:spacing w:before="1"/>
      </w:pPr>
    </w:p>
    <w:p w14:paraId="7AEBD15F" w14:textId="77777777" w:rsidR="003300C5" w:rsidRPr="00636F59" w:rsidRDefault="00066666">
      <w:pPr>
        <w:pStyle w:val="Balk1"/>
        <w:jc w:val="left"/>
      </w:pPr>
      <w:r>
        <w:t>Basis</w:t>
      </w:r>
    </w:p>
    <w:p w14:paraId="43CC3062" w14:textId="2A059821" w:rsidR="003300C5" w:rsidRPr="00636F59" w:rsidRDefault="00066666">
      <w:pPr>
        <w:pStyle w:val="GvdeMetni"/>
        <w:ind w:left="116" w:right="117" w:firstLine="706"/>
        <w:jc w:val="both"/>
      </w:pPr>
      <w:r>
        <w:rPr>
          <w:b/>
        </w:rPr>
        <w:t xml:space="preserve">ARTICLE 3 </w:t>
      </w:r>
      <w:r>
        <w:t>- (</w:t>
      </w:r>
      <w:r w:rsidR="00C47475">
        <w:t>1) This</w:t>
      </w:r>
      <w:r>
        <w:t xml:space="preserve"> Directive is based on Article 14 of Higher Education Law no. 2547, and Regulations on Transfer among Associate and Undergraduate Degree Programs of Higher Education Institutions, Double and Minor Major Programs, and Inter-Institutional Credit Transfer, published in the Official Gazette No: 27561, dated April 24, 2010.</w:t>
      </w:r>
    </w:p>
    <w:p w14:paraId="0B68F7A5" w14:textId="77777777" w:rsidR="003300C5" w:rsidRPr="00636F59" w:rsidRDefault="003300C5">
      <w:pPr>
        <w:pStyle w:val="GvdeMetni"/>
        <w:spacing w:before="2"/>
      </w:pPr>
    </w:p>
    <w:p w14:paraId="54F138D3" w14:textId="77777777" w:rsidR="003300C5" w:rsidRPr="00636F59" w:rsidRDefault="00066666">
      <w:pPr>
        <w:pStyle w:val="Balk1"/>
        <w:spacing w:line="240" w:lineRule="auto"/>
        <w:ind w:left="1008" w:right="1008"/>
      </w:pPr>
      <w:r>
        <w:t>SECTION TWO</w:t>
      </w:r>
    </w:p>
    <w:p w14:paraId="451DE638" w14:textId="77777777" w:rsidR="003300C5" w:rsidRPr="00636F59" w:rsidRDefault="00066666">
      <w:pPr>
        <w:spacing w:before="2"/>
        <w:ind w:left="1008" w:right="1010"/>
        <w:jc w:val="center"/>
        <w:rPr>
          <w:b/>
          <w:sz w:val="24"/>
          <w:szCs w:val="24"/>
        </w:rPr>
      </w:pPr>
      <w:r>
        <w:rPr>
          <w:b/>
          <w:sz w:val="24"/>
          <w:szCs w:val="24"/>
        </w:rPr>
        <w:t>Opening Double Major Programs, Application and Admission Conditions</w:t>
      </w:r>
    </w:p>
    <w:p w14:paraId="0CF03A19" w14:textId="77777777" w:rsidR="003300C5" w:rsidRPr="00636F59" w:rsidRDefault="00066666">
      <w:pPr>
        <w:pStyle w:val="Balk1"/>
        <w:spacing w:line="273" w:lineRule="exact"/>
        <w:jc w:val="both"/>
      </w:pPr>
      <w:r>
        <w:t>Opening Double Major Programs</w:t>
      </w:r>
    </w:p>
    <w:p w14:paraId="76F198DC" w14:textId="128EA32F" w:rsidR="003300C5" w:rsidRPr="00636F59" w:rsidRDefault="00066666">
      <w:pPr>
        <w:ind w:left="116" w:right="116" w:firstLine="706"/>
        <w:jc w:val="both"/>
        <w:rPr>
          <w:sz w:val="24"/>
          <w:szCs w:val="24"/>
        </w:rPr>
      </w:pPr>
      <w:r>
        <w:rPr>
          <w:b/>
          <w:sz w:val="24"/>
          <w:szCs w:val="24"/>
        </w:rPr>
        <w:t>ARTICLE 4 -</w:t>
      </w:r>
      <w:r>
        <w:rPr>
          <w:sz w:val="24"/>
          <w:szCs w:val="24"/>
        </w:rPr>
        <w:t xml:space="preserve">(1) Double major programs are opened with the approval of the Senate upon the proposal of relevant departments </w:t>
      </w:r>
      <w:r>
        <w:rPr>
          <w:b/>
          <w:sz w:val="24"/>
          <w:szCs w:val="24"/>
        </w:rPr>
        <w:t>(Senate Resolution dated 07.12.2021 no. 16)</w:t>
      </w:r>
      <w:r>
        <w:rPr>
          <w:sz w:val="24"/>
          <w:szCs w:val="24"/>
        </w:rPr>
        <w:t xml:space="preserve"> and executive boards of schools. Double major programs include all courses of the relevant undergraduate/ associate degree program </w:t>
      </w:r>
      <w:r>
        <w:rPr>
          <w:b/>
          <w:sz w:val="24"/>
          <w:szCs w:val="24"/>
        </w:rPr>
        <w:t>(Senate Resolution dated 07.12.2021 no. 16)</w:t>
      </w:r>
      <w:r>
        <w:rPr>
          <w:sz w:val="24"/>
          <w:szCs w:val="24"/>
        </w:rPr>
        <w:t xml:space="preserve">. Course equivalence is determined by relevant departments. </w:t>
      </w:r>
    </w:p>
    <w:p w14:paraId="2D823093" w14:textId="77777777" w:rsidR="003300C5" w:rsidRPr="00636F59" w:rsidRDefault="00066666" w:rsidP="00B60623">
      <w:pPr>
        <w:pStyle w:val="ListeParagraf"/>
        <w:numPr>
          <w:ilvl w:val="0"/>
          <w:numId w:val="3"/>
        </w:numPr>
        <w:tabs>
          <w:tab w:val="left" w:pos="649"/>
          <w:tab w:val="left" w:pos="6237"/>
        </w:tabs>
        <w:ind w:right="238" w:firstLine="0"/>
        <w:rPr>
          <w:sz w:val="24"/>
          <w:szCs w:val="24"/>
        </w:rPr>
      </w:pPr>
      <w:r>
        <w:rPr>
          <w:sz w:val="24"/>
          <w:szCs w:val="24"/>
        </w:rPr>
        <w:t xml:space="preserve">Double major program students must take a minimum of twelve (12) courses not less than 60 ECTS excluding common or equivalent courses of their undergraduate degree programs </w:t>
      </w:r>
      <w:r>
        <w:rPr>
          <w:b/>
          <w:sz w:val="24"/>
          <w:szCs w:val="24"/>
        </w:rPr>
        <w:t>(Senate Resolution dated 07.12.2021 no. 16)</w:t>
      </w:r>
      <w:r>
        <w:rPr>
          <w:sz w:val="24"/>
          <w:szCs w:val="24"/>
        </w:rPr>
        <w:t xml:space="preserve">; or 6 courses not less than 30 ECTS </w:t>
      </w:r>
      <w:r>
        <w:rPr>
          <w:b/>
          <w:sz w:val="24"/>
          <w:szCs w:val="24"/>
        </w:rPr>
        <w:t>(Senate Resolution dated 07.12.2021 no. 16)</w:t>
      </w:r>
      <w:r>
        <w:rPr>
          <w:sz w:val="24"/>
          <w:szCs w:val="24"/>
        </w:rPr>
        <w:t xml:space="preserve"> in total, excluding common or equivalent courses of their associate degree programs </w:t>
      </w:r>
      <w:r>
        <w:rPr>
          <w:b/>
          <w:sz w:val="24"/>
          <w:szCs w:val="24"/>
        </w:rPr>
        <w:t>(Senate Resolution dated 07.12.2021 no. 16)</w:t>
      </w:r>
      <w:r>
        <w:rPr>
          <w:sz w:val="24"/>
          <w:szCs w:val="24"/>
        </w:rPr>
        <w:t>.</w:t>
      </w:r>
    </w:p>
    <w:p w14:paraId="768E4C98" w14:textId="77777777" w:rsidR="003300C5" w:rsidRPr="00636F59" w:rsidRDefault="003300C5">
      <w:pPr>
        <w:pStyle w:val="GvdeMetni"/>
        <w:spacing w:before="2"/>
      </w:pPr>
    </w:p>
    <w:p w14:paraId="4C1D5137" w14:textId="77777777" w:rsidR="003300C5" w:rsidRPr="00636F59" w:rsidRDefault="00066666">
      <w:pPr>
        <w:pStyle w:val="Balk1"/>
        <w:spacing w:before="1" w:line="272" w:lineRule="exact"/>
        <w:jc w:val="both"/>
      </w:pPr>
      <w:r>
        <w:t>Terms of application and admission</w:t>
      </w:r>
    </w:p>
    <w:p w14:paraId="697F25C3" w14:textId="67F69B89" w:rsidR="00C47475" w:rsidRDefault="00C47475" w:rsidP="005E0F53">
      <w:pPr>
        <w:pStyle w:val="Balk1"/>
        <w:spacing w:before="1" w:line="272" w:lineRule="exact"/>
        <w:ind w:left="0"/>
        <w:jc w:val="both"/>
        <w:rPr>
          <w:b w:val="0"/>
          <w:bCs w:val="0"/>
        </w:rPr>
      </w:pPr>
      <w:r>
        <w:t xml:space="preserve">           </w:t>
      </w:r>
      <w:r w:rsidR="005E0F53">
        <w:t xml:space="preserve">  </w:t>
      </w:r>
      <w:r w:rsidR="005E0F53">
        <w:rPr>
          <w:bCs w:val="0"/>
        </w:rPr>
        <w:t>ARTICLE 5 – (1) (Senate Resolution dated 28.06.2024 no. 07)</w:t>
      </w:r>
      <w:r w:rsidR="005E0F53">
        <w:rPr>
          <w:b w:val="0"/>
          <w:bCs w:val="0"/>
        </w:rPr>
        <w:t xml:space="preserve"> In major undergraduate degree programs, students may apply to double-major programs from the beginning of the third semester the earliest, to the fifth semester in four-year programs, the seventh semester in five-year programs, and the ninth semester in six-year programs the latest. In major associate degree programs, students may apply between the beginning of both the second and the third semester.</w:t>
      </w:r>
    </w:p>
    <w:p w14:paraId="10267F35" w14:textId="1285B75D" w:rsidR="003300C5" w:rsidRPr="00636F59" w:rsidRDefault="00066666" w:rsidP="005B356E">
      <w:pPr>
        <w:pStyle w:val="ListeParagraf"/>
        <w:numPr>
          <w:ilvl w:val="1"/>
          <w:numId w:val="3"/>
        </w:numPr>
        <w:tabs>
          <w:tab w:val="left" w:pos="1259"/>
        </w:tabs>
        <w:spacing w:before="70"/>
        <w:ind w:right="122" w:firstLine="735"/>
      </w:pPr>
      <w:r>
        <w:rPr>
          <w:sz w:val="24"/>
          <w:szCs w:val="24"/>
        </w:rPr>
        <w:lastRenderedPageBreak/>
        <w:t xml:space="preserve">In order to be eligible for the program, students must have passed all credit courses in their own undergraduate/ associate degree program, have a minimum GPA of 3.00/4.00 and rank in the top 20% with respect to their grades relevant to their class under their main degree program </w:t>
      </w:r>
      <w:r w:rsidRPr="00C47475">
        <w:rPr>
          <w:b/>
          <w:sz w:val="24"/>
          <w:szCs w:val="24"/>
        </w:rPr>
        <w:t>(Senate Resolution dated 07.12.2021 no. 16)</w:t>
      </w:r>
      <w:r>
        <w:rPr>
          <w:sz w:val="24"/>
          <w:szCs w:val="24"/>
        </w:rPr>
        <w:t>.</w:t>
      </w:r>
      <w:r>
        <w:t xml:space="preserve"> The students who have minimum GPA of 3.00/4.00 but are not included in the top 20% of their undergraduate program may apply for double major programs provided that their university entrance exam scores are higher than the base point of the double major program in question in the year of their admission.</w:t>
      </w:r>
    </w:p>
    <w:p w14:paraId="2FEACDBA" w14:textId="77777777" w:rsidR="003300C5" w:rsidRPr="00636F59" w:rsidRDefault="003300C5">
      <w:pPr>
        <w:pStyle w:val="GvdeMetni"/>
        <w:spacing w:before="3"/>
      </w:pPr>
    </w:p>
    <w:p w14:paraId="5DE31842" w14:textId="7A7DEDED" w:rsidR="003300C5" w:rsidRPr="00636F59" w:rsidRDefault="00066666">
      <w:pPr>
        <w:pStyle w:val="ListeParagraf"/>
        <w:numPr>
          <w:ilvl w:val="1"/>
          <w:numId w:val="3"/>
        </w:numPr>
        <w:tabs>
          <w:tab w:val="left" w:pos="1187"/>
        </w:tabs>
        <w:ind w:right="112" w:firstLine="706"/>
        <w:rPr>
          <w:sz w:val="24"/>
          <w:szCs w:val="24"/>
        </w:rPr>
      </w:pPr>
      <w:r>
        <w:rPr>
          <w:sz w:val="24"/>
          <w:szCs w:val="24"/>
        </w:rPr>
        <w:t xml:space="preserve">Admission procedures are finalized with the decision of the executive board of school for the program of the students’ choice </w:t>
      </w:r>
      <w:r>
        <w:rPr>
          <w:b/>
          <w:sz w:val="24"/>
          <w:szCs w:val="24"/>
        </w:rPr>
        <w:t>(Senate Resolution dated 07.12.2021 no. 16)</w:t>
      </w:r>
      <w:r>
        <w:rPr>
          <w:sz w:val="24"/>
          <w:szCs w:val="24"/>
        </w:rPr>
        <w:t>.</w:t>
      </w:r>
    </w:p>
    <w:p w14:paraId="6C2684F3" w14:textId="77777777" w:rsidR="003300C5" w:rsidRPr="00636F59" w:rsidRDefault="003300C5">
      <w:pPr>
        <w:pStyle w:val="GvdeMetni"/>
        <w:spacing w:before="9"/>
      </w:pPr>
    </w:p>
    <w:p w14:paraId="1CC74A7A" w14:textId="408C0309" w:rsidR="003300C5" w:rsidRPr="00636F59" w:rsidRDefault="00066666">
      <w:pPr>
        <w:pStyle w:val="ListeParagraf"/>
        <w:numPr>
          <w:ilvl w:val="1"/>
          <w:numId w:val="3"/>
        </w:numPr>
        <w:tabs>
          <w:tab w:val="left" w:pos="1206"/>
        </w:tabs>
        <w:spacing w:line="242" w:lineRule="auto"/>
        <w:ind w:right="114" w:firstLine="706"/>
        <w:rPr>
          <w:sz w:val="24"/>
          <w:szCs w:val="24"/>
        </w:rPr>
      </w:pPr>
      <w:r>
        <w:rPr>
          <w:sz w:val="24"/>
          <w:szCs w:val="24"/>
        </w:rPr>
        <w:t>Withdrawn (W) courses are included in the list of courses to be completed.</w:t>
      </w:r>
    </w:p>
    <w:p w14:paraId="54E25AFB" w14:textId="77777777" w:rsidR="00E960F0" w:rsidRPr="00636F59" w:rsidRDefault="00E960F0" w:rsidP="00ED4FAD">
      <w:pPr>
        <w:pStyle w:val="ListeParagraf"/>
        <w:rPr>
          <w:sz w:val="24"/>
          <w:szCs w:val="24"/>
        </w:rPr>
      </w:pPr>
    </w:p>
    <w:p w14:paraId="276BEC6A" w14:textId="36A44153" w:rsidR="00ED4FAD" w:rsidRPr="00EF4F3F" w:rsidRDefault="00783443" w:rsidP="00ED4FAD">
      <w:pPr>
        <w:pStyle w:val="ListeParagraf"/>
        <w:numPr>
          <w:ilvl w:val="1"/>
          <w:numId w:val="3"/>
        </w:numPr>
        <w:tabs>
          <w:tab w:val="left" w:pos="1206"/>
        </w:tabs>
        <w:spacing w:line="242" w:lineRule="auto"/>
        <w:ind w:right="114" w:firstLine="706"/>
        <w:rPr>
          <w:color w:val="000000"/>
          <w:sz w:val="24"/>
          <w:szCs w:val="24"/>
        </w:rPr>
      </w:pPr>
      <w:r>
        <w:rPr>
          <w:b/>
          <w:sz w:val="24"/>
          <w:szCs w:val="24"/>
        </w:rPr>
        <w:t>(Senate Resolution dated 28.06.2024 no. 07)</w:t>
      </w:r>
      <w:r>
        <w:rPr>
          <w:sz w:val="24"/>
          <w:szCs w:val="24"/>
        </w:rPr>
        <w:t xml:space="preserve"> Students who are registered in a Turkish language medium program and wish to do a double major in an English language medium program must meet the relevant English proficiency requirements.</w:t>
      </w:r>
      <w:r>
        <w:rPr>
          <w:color w:val="000000"/>
          <w:sz w:val="24"/>
          <w:szCs w:val="24"/>
        </w:rPr>
        <w:t xml:space="preserve">  Students who are registered in an English language medium program and wish to do a double major in a Turkish language medium program must meet the relevant Turkish proficiency requirements.   </w:t>
      </w:r>
    </w:p>
    <w:p w14:paraId="622A204B" w14:textId="53DD59D3" w:rsidR="00E960F0" w:rsidRPr="00636F59" w:rsidRDefault="00E960F0" w:rsidP="0019006A">
      <w:pPr>
        <w:pStyle w:val="GvdeMetni"/>
        <w:spacing w:before="9"/>
        <w:ind w:left="1440"/>
      </w:pPr>
    </w:p>
    <w:p w14:paraId="013B4E99" w14:textId="77777777" w:rsidR="003300C5" w:rsidRPr="00636F59" w:rsidRDefault="00066666">
      <w:pPr>
        <w:pStyle w:val="ListeParagraf"/>
        <w:numPr>
          <w:ilvl w:val="1"/>
          <w:numId w:val="3"/>
        </w:numPr>
        <w:tabs>
          <w:tab w:val="left" w:pos="1264"/>
        </w:tabs>
        <w:spacing w:before="1" w:line="242" w:lineRule="auto"/>
        <w:ind w:right="112" w:firstLine="706"/>
        <w:rPr>
          <w:sz w:val="24"/>
          <w:szCs w:val="24"/>
        </w:rPr>
      </w:pPr>
      <w:r>
        <w:rPr>
          <w:sz w:val="24"/>
          <w:szCs w:val="24"/>
        </w:rPr>
        <w:t>Applicants must also meet the minimum ranking conditions specified by the Higher Education Council for admission to relevant departments.</w:t>
      </w:r>
    </w:p>
    <w:p w14:paraId="5B430452" w14:textId="77777777" w:rsidR="003300C5" w:rsidRPr="00636F59" w:rsidRDefault="003300C5">
      <w:pPr>
        <w:pStyle w:val="GvdeMetni"/>
        <w:spacing w:before="8"/>
      </w:pPr>
    </w:p>
    <w:p w14:paraId="3509953C" w14:textId="77777777" w:rsidR="003300C5" w:rsidRPr="00636F59" w:rsidRDefault="00066666">
      <w:pPr>
        <w:pStyle w:val="ListeParagraf"/>
        <w:numPr>
          <w:ilvl w:val="1"/>
          <w:numId w:val="3"/>
        </w:numPr>
        <w:tabs>
          <w:tab w:val="left" w:pos="1226"/>
        </w:tabs>
        <w:ind w:right="109" w:firstLine="706"/>
        <w:rPr>
          <w:sz w:val="24"/>
          <w:szCs w:val="24"/>
        </w:rPr>
      </w:pPr>
      <w:r>
        <w:rPr>
          <w:b/>
          <w:sz w:val="24"/>
          <w:szCs w:val="24"/>
        </w:rPr>
        <w:t>(Senate Resolution dated 07.12.2021 no. 16)</w:t>
      </w:r>
      <w:r>
        <w:rPr>
          <w:sz w:val="24"/>
          <w:szCs w:val="24"/>
        </w:rPr>
        <w:t xml:space="preserve"> Associate degree program students may not pursue a double major in undergraduate degree programs.</w:t>
      </w:r>
    </w:p>
    <w:p w14:paraId="1445EC1C" w14:textId="77777777" w:rsidR="002E1A31" w:rsidRPr="00636F59" w:rsidRDefault="002E1A31" w:rsidP="002E1A31">
      <w:pPr>
        <w:pStyle w:val="ListeParagraf"/>
        <w:rPr>
          <w:sz w:val="24"/>
          <w:szCs w:val="24"/>
        </w:rPr>
      </w:pPr>
    </w:p>
    <w:p w14:paraId="2B183952" w14:textId="48A9F810" w:rsidR="00872AA6" w:rsidRPr="00EF4F3F" w:rsidRDefault="00783443" w:rsidP="00872AA6">
      <w:pPr>
        <w:pStyle w:val="ListeParagraf"/>
        <w:numPr>
          <w:ilvl w:val="1"/>
          <w:numId w:val="3"/>
        </w:numPr>
        <w:tabs>
          <w:tab w:val="left" w:pos="1226"/>
        </w:tabs>
        <w:ind w:right="109" w:firstLine="706"/>
        <w:rPr>
          <w:color w:val="000000"/>
          <w:sz w:val="24"/>
          <w:szCs w:val="24"/>
        </w:rPr>
      </w:pPr>
      <w:r>
        <w:rPr>
          <w:b/>
          <w:sz w:val="24"/>
          <w:szCs w:val="24"/>
        </w:rPr>
        <w:t>(Senate Resolution dated 28.06.2024 no. 07)</w:t>
      </w:r>
      <w:r>
        <w:rPr>
          <w:sz w:val="24"/>
          <w:szCs w:val="24"/>
        </w:rPr>
        <w:t xml:space="preserve"> For applications to start a minor program in the Fall semester, applicant students’ GPA at the end of the Spring semester of the previous academic year shall be taken into account.</w:t>
      </w:r>
      <w:r>
        <w:rPr>
          <w:color w:val="000000"/>
          <w:sz w:val="24"/>
          <w:szCs w:val="24"/>
        </w:rPr>
        <w:t xml:space="preserve">   </w:t>
      </w:r>
    </w:p>
    <w:p w14:paraId="67932D83" w14:textId="77777777" w:rsidR="002E1A31" w:rsidRPr="00EF4F3F" w:rsidRDefault="002E1A31" w:rsidP="002E1A31">
      <w:pPr>
        <w:tabs>
          <w:tab w:val="left" w:pos="1226"/>
        </w:tabs>
        <w:ind w:right="109"/>
        <w:rPr>
          <w:sz w:val="24"/>
          <w:szCs w:val="24"/>
        </w:rPr>
      </w:pPr>
    </w:p>
    <w:p w14:paraId="539F0286" w14:textId="7EC1D058" w:rsidR="00872AA6" w:rsidRPr="00EF4F3F" w:rsidRDefault="00783443" w:rsidP="00872AA6">
      <w:pPr>
        <w:pStyle w:val="ListeParagraf"/>
        <w:numPr>
          <w:ilvl w:val="1"/>
          <w:numId w:val="3"/>
        </w:numPr>
        <w:tabs>
          <w:tab w:val="left" w:pos="1226"/>
        </w:tabs>
        <w:ind w:right="109" w:firstLine="706"/>
        <w:rPr>
          <w:color w:val="000000"/>
          <w:sz w:val="24"/>
          <w:szCs w:val="24"/>
        </w:rPr>
      </w:pPr>
      <w:r>
        <w:rPr>
          <w:b/>
          <w:sz w:val="24"/>
          <w:szCs w:val="24"/>
        </w:rPr>
        <w:t>(Senate Resolution dated 28.06.2024 no. 07)</w:t>
      </w:r>
      <w:r>
        <w:rPr>
          <w:sz w:val="24"/>
          <w:szCs w:val="24"/>
        </w:rPr>
        <w:t xml:space="preserve"> If students placed through DGS apply to double major programs that require a success ranking, their double major applications will not be taken into consideration.</w:t>
      </w:r>
    </w:p>
    <w:p w14:paraId="3906C421" w14:textId="77777777" w:rsidR="00872AA6" w:rsidRPr="00636F59" w:rsidRDefault="00872AA6" w:rsidP="002E1A31">
      <w:pPr>
        <w:tabs>
          <w:tab w:val="left" w:pos="1226"/>
        </w:tabs>
        <w:ind w:right="109"/>
        <w:rPr>
          <w:sz w:val="24"/>
          <w:szCs w:val="24"/>
        </w:rPr>
      </w:pPr>
    </w:p>
    <w:p w14:paraId="0E580700" w14:textId="77777777" w:rsidR="003300C5" w:rsidRPr="00EF4F3F" w:rsidRDefault="00066666">
      <w:pPr>
        <w:pStyle w:val="Balk1"/>
        <w:jc w:val="both"/>
      </w:pPr>
      <w:r>
        <w:t>Double Major Programs</w:t>
      </w:r>
    </w:p>
    <w:p w14:paraId="4A4BE35B" w14:textId="57DEA5F2" w:rsidR="003300C5" w:rsidRPr="00636F59" w:rsidRDefault="00066666" w:rsidP="00602250">
      <w:pPr>
        <w:pStyle w:val="GvdeMetni"/>
        <w:ind w:left="116" w:right="125" w:firstLine="706"/>
        <w:jc w:val="both"/>
        <w:rPr>
          <w:color w:val="000000"/>
        </w:rPr>
      </w:pPr>
      <w:r>
        <w:rPr>
          <w:b/>
        </w:rPr>
        <w:t>ARTICLE 6 - (1) (Senate Resolution dated 28.06.2024 no. 07)</w:t>
      </w:r>
      <w:r>
        <w:t xml:space="preserve"> A separate transcript is prepared for double major programs.</w:t>
      </w:r>
    </w:p>
    <w:p w14:paraId="1341D309" w14:textId="77777777" w:rsidR="00602250" w:rsidRPr="00636F59" w:rsidRDefault="00602250" w:rsidP="00602250">
      <w:pPr>
        <w:pStyle w:val="GvdeMetni"/>
        <w:ind w:left="116" w:right="125" w:firstLine="706"/>
        <w:jc w:val="both"/>
      </w:pPr>
    </w:p>
    <w:p w14:paraId="56BA2445" w14:textId="46853EF2" w:rsidR="00BC72D4" w:rsidRPr="00EF4F3F" w:rsidRDefault="00066666" w:rsidP="00BC72D4">
      <w:pPr>
        <w:pStyle w:val="ListeParagraf"/>
        <w:numPr>
          <w:ilvl w:val="0"/>
          <w:numId w:val="2"/>
        </w:numPr>
        <w:tabs>
          <w:tab w:val="left" w:pos="1254"/>
        </w:tabs>
        <w:ind w:left="142" w:right="107" w:firstLine="706"/>
        <w:rPr>
          <w:sz w:val="24"/>
          <w:szCs w:val="24"/>
        </w:rPr>
      </w:pPr>
      <w:r>
        <w:rPr>
          <w:sz w:val="24"/>
          <w:szCs w:val="24"/>
        </w:rPr>
        <w:t xml:space="preserve">Courses to be recognized by both departments shall be determined with a protocol and finalized upon the decision of the relevant executive boards of </w:t>
      </w:r>
      <w:r w:rsidR="00C47475">
        <w:rPr>
          <w:sz w:val="24"/>
          <w:szCs w:val="24"/>
        </w:rPr>
        <w:t>schools</w:t>
      </w:r>
      <w:r w:rsidR="00C47475">
        <w:rPr>
          <w:b/>
          <w:sz w:val="24"/>
          <w:szCs w:val="24"/>
        </w:rPr>
        <w:t xml:space="preserve"> (</w:t>
      </w:r>
      <w:r>
        <w:rPr>
          <w:b/>
          <w:sz w:val="24"/>
          <w:szCs w:val="24"/>
        </w:rPr>
        <w:t>Senate Resolution dated 07.12.2021 no. 16)</w:t>
      </w:r>
      <w:r>
        <w:rPr>
          <w:sz w:val="24"/>
          <w:szCs w:val="24"/>
        </w:rPr>
        <w:t xml:space="preserve">. The courses taken in main major programs and deemed to be equivalent shall be presented accordingly in both transcripts </w:t>
      </w:r>
      <w:r>
        <w:rPr>
          <w:b/>
          <w:sz w:val="24"/>
          <w:szCs w:val="24"/>
        </w:rPr>
        <w:t>(Senate Resolution dated 10.01.2023 no. 01)</w:t>
      </w:r>
      <w:r>
        <w:rPr>
          <w:sz w:val="24"/>
          <w:szCs w:val="24"/>
        </w:rPr>
        <w:t>.</w:t>
      </w:r>
      <w:r>
        <w:rPr>
          <w:b/>
          <w:sz w:val="24"/>
          <w:szCs w:val="24"/>
        </w:rPr>
        <w:t xml:space="preserve"> (Senate Resolution dated 28.06.2024 no. 07)</w:t>
      </w:r>
      <w:r>
        <w:rPr>
          <w:sz w:val="24"/>
          <w:szCs w:val="24"/>
        </w:rPr>
        <w:t xml:space="preserve"> Course substitution procedures are carried out in accordance with the provisions of the Atılım University Directive on Recognition of Previous Education, Exemption, and Assignment Transactions.</w:t>
      </w:r>
    </w:p>
    <w:p w14:paraId="2D192AEF" w14:textId="77777777" w:rsidR="00A66A1A" w:rsidRPr="00636F59" w:rsidRDefault="00A66A1A" w:rsidP="00A66A1A">
      <w:pPr>
        <w:pStyle w:val="ListeParagraf"/>
        <w:tabs>
          <w:tab w:val="left" w:pos="1254"/>
        </w:tabs>
        <w:ind w:left="848" w:right="107" w:firstLine="0"/>
        <w:rPr>
          <w:sz w:val="24"/>
          <w:szCs w:val="24"/>
        </w:rPr>
      </w:pPr>
    </w:p>
    <w:p w14:paraId="5F5B6C98" w14:textId="77777777" w:rsidR="009A61E7" w:rsidRPr="00636F59" w:rsidRDefault="00066666" w:rsidP="009A61E7">
      <w:pPr>
        <w:pStyle w:val="ListeParagraf"/>
        <w:numPr>
          <w:ilvl w:val="0"/>
          <w:numId w:val="2"/>
        </w:numPr>
        <w:tabs>
          <w:tab w:val="left" w:pos="1254"/>
        </w:tabs>
        <w:spacing w:before="1"/>
        <w:ind w:left="142" w:right="116" w:firstLine="706"/>
        <w:rPr>
          <w:sz w:val="24"/>
          <w:szCs w:val="24"/>
        </w:rPr>
      </w:pPr>
      <w:r>
        <w:rPr>
          <w:sz w:val="24"/>
          <w:szCs w:val="24"/>
        </w:rPr>
        <w:t xml:space="preserve">Chairpersons of departments shall assign a Double Major Program Coordinator to assist the students in choosing a double major program and to ensure that double major programs are carried out appropriately. Double Major Program Coordinators operate in coordination with the relevant student advisors of associate/ undergraduate degree programs </w:t>
      </w:r>
      <w:r>
        <w:rPr>
          <w:b/>
          <w:sz w:val="24"/>
          <w:szCs w:val="24"/>
        </w:rPr>
        <w:t>(Senate Resolution dated 07.12.2021 no. 16)</w:t>
      </w:r>
      <w:r>
        <w:rPr>
          <w:sz w:val="24"/>
          <w:szCs w:val="24"/>
        </w:rPr>
        <w:t>.</w:t>
      </w:r>
    </w:p>
    <w:p w14:paraId="7ED75243" w14:textId="77777777" w:rsidR="009A61E7" w:rsidRPr="00636F59" w:rsidRDefault="009A61E7" w:rsidP="009A61E7">
      <w:pPr>
        <w:pStyle w:val="ListeParagraf"/>
        <w:rPr>
          <w:spacing w:val="-1"/>
          <w:sz w:val="24"/>
          <w:szCs w:val="24"/>
        </w:rPr>
      </w:pPr>
    </w:p>
    <w:p w14:paraId="6F8BBE24" w14:textId="28010D79" w:rsidR="003300C5" w:rsidRPr="00636F59" w:rsidRDefault="00066666" w:rsidP="009A61E7">
      <w:pPr>
        <w:pStyle w:val="ListeParagraf"/>
        <w:numPr>
          <w:ilvl w:val="0"/>
          <w:numId w:val="2"/>
        </w:numPr>
        <w:tabs>
          <w:tab w:val="left" w:pos="1254"/>
        </w:tabs>
        <w:spacing w:before="1"/>
        <w:ind w:left="142" w:right="116" w:firstLine="706"/>
        <w:rPr>
          <w:sz w:val="24"/>
          <w:szCs w:val="24"/>
        </w:rPr>
      </w:pPr>
      <w:r>
        <w:rPr>
          <w:sz w:val="24"/>
          <w:szCs w:val="24"/>
        </w:rPr>
        <w:lastRenderedPageBreak/>
        <w:t>Students cannot register in multiple double major programs at the same time.  However, students may enroll in a double major and a minor program at any given time.</w:t>
      </w:r>
    </w:p>
    <w:p w14:paraId="5F0A6369" w14:textId="77777777" w:rsidR="003300C5" w:rsidRPr="00636F59" w:rsidRDefault="003300C5">
      <w:pPr>
        <w:pStyle w:val="GvdeMetni"/>
        <w:spacing w:before="1"/>
      </w:pPr>
    </w:p>
    <w:p w14:paraId="0B6296ED" w14:textId="77777777" w:rsidR="00307058" w:rsidRPr="00636F59" w:rsidRDefault="00066666" w:rsidP="00307058">
      <w:pPr>
        <w:pStyle w:val="ListeParagraf"/>
        <w:numPr>
          <w:ilvl w:val="0"/>
          <w:numId w:val="2"/>
        </w:numPr>
        <w:tabs>
          <w:tab w:val="left" w:pos="1164"/>
        </w:tabs>
        <w:ind w:left="1163" w:right="0" w:hanging="342"/>
        <w:rPr>
          <w:sz w:val="24"/>
          <w:szCs w:val="24"/>
        </w:rPr>
      </w:pPr>
      <w:r>
        <w:rPr>
          <w:sz w:val="24"/>
          <w:szCs w:val="24"/>
        </w:rPr>
        <w:t xml:space="preserve">This item has been repealed </w:t>
      </w:r>
      <w:r>
        <w:rPr>
          <w:b/>
          <w:sz w:val="24"/>
          <w:szCs w:val="24"/>
        </w:rPr>
        <w:t>(Senate Resolution dated 10.01.2023 no. 01)</w:t>
      </w:r>
      <w:r>
        <w:rPr>
          <w:sz w:val="24"/>
          <w:szCs w:val="24"/>
        </w:rPr>
        <w:t>.</w:t>
      </w:r>
    </w:p>
    <w:p w14:paraId="120031F9" w14:textId="77777777" w:rsidR="00412F8E" w:rsidRPr="00636F59" w:rsidRDefault="00412F8E" w:rsidP="00412F8E">
      <w:pPr>
        <w:pStyle w:val="ListeParagraf"/>
        <w:rPr>
          <w:sz w:val="24"/>
          <w:szCs w:val="24"/>
        </w:rPr>
      </w:pPr>
    </w:p>
    <w:p w14:paraId="7CFE7C60" w14:textId="77777777" w:rsidR="009A61E7" w:rsidRPr="00636F59" w:rsidRDefault="00066666" w:rsidP="00307058">
      <w:pPr>
        <w:pStyle w:val="ListeParagraf"/>
        <w:numPr>
          <w:ilvl w:val="0"/>
          <w:numId w:val="2"/>
        </w:numPr>
        <w:tabs>
          <w:tab w:val="left" w:pos="1164"/>
        </w:tabs>
        <w:ind w:left="1163" w:right="0" w:hanging="342"/>
        <w:rPr>
          <w:sz w:val="24"/>
          <w:szCs w:val="24"/>
        </w:rPr>
      </w:pPr>
      <w:r>
        <w:rPr>
          <w:b/>
          <w:sz w:val="24"/>
          <w:szCs w:val="24"/>
        </w:rPr>
        <w:t>(Senate Resolution dated 07.12.2021 no. 16)</w:t>
      </w:r>
      <w:r>
        <w:rPr>
          <w:sz w:val="24"/>
          <w:szCs w:val="24"/>
        </w:rPr>
        <w:t xml:space="preserve"> </w:t>
      </w:r>
    </w:p>
    <w:p w14:paraId="47CB4EC4" w14:textId="0627B344" w:rsidR="00307058" w:rsidRPr="00636F59" w:rsidRDefault="00066666" w:rsidP="009A61E7">
      <w:pPr>
        <w:tabs>
          <w:tab w:val="left" w:pos="1164"/>
        </w:tabs>
        <w:rPr>
          <w:sz w:val="24"/>
          <w:szCs w:val="24"/>
        </w:rPr>
      </w:pPr>
      <w:r>
        <w:rPr>
          <w:sz w:val="24"/>
          <w:szCs w:val="24"/>
        </w:rPr>
        <w:t>Registrations of students who have not taken any courses in two semesters consecutively shall be annulled.</w:t>
      </w:r>
    </w:p>
    <w:p w14:paraId="5D998D18" w14:textId="77777777" w:rsidR="00307058" w:rsidRPr="00636F59" w:rsidRDefault="00307058" w:rsidP="002B2199">
      <w:pPr>
        <w:pStyle w:val="ListeParagraf"/>
        <w:rPr>
          <w:sz w:val="24"/>
          <w:szCs w:val="24"/>
        </w:rPr>
      </w:pPr>
    </w:p>
    <w:p w14:paraId="7072553F" w14:textId="5DA5AD09" w:rsidR="0042085F" w:rsidRPr="00EF4F3F" w:rsidRDefault="009B77A9" w:rsidP="00440FCA">
      <w:pPr>
        <w:pStyle w:val="ListeParagraf"/>
        <w:numPr>
          <w:ilvl w:val="0"/>
          <w:numId w:val="2"/>
        </w:numPr>
        <w:tabs>
          <w:tab w:val="left" w:pos="851"/>
          <w:tab w:val="left" w:pos="1134"/>
          <w:tab w:val="left" w:pos="1164"/>
        </w:tabs>
        <w:ind w:left="0" w:right="0" w:firstLine="851"/>
        <w:rPr>
          <w:sz w:val="24"/>
          <w:szCs w:val="24"/>
        </w:rPr>
      </w:pPr>
      <w:r>
        <w:rPr>
          <w:b/>
          <w:sz w:val="24"/>
          <w:szCs w:val="24"/>
        </w:rPr>
        <w:t xml:space="preserve"> (Senate Resolution dated 28.06.2024 no. 7)</w:t>
      </w:r>
      <w:r>
        <w:rPr>
          <w:sz w:val="24"/>
          <w:szCs w:val="24"/>
        </w:rPr>
        <w:t xml:space="preserve"> Double major program students may not take any courses from their majors in the relevant semester when they are involved in a full-time education effort outside the university, such as a national or international exchange program or a Cooperative Education program.</w:t>
      </w:r>
      <w:r>
        <w:rPr>
          <w:color w:val="000000"/>
          <w:sz w:val="24"/>
          <w:szCs w:val="24"/>
        </w:rPr>
        <w:t xml:space="preserve"> This period does not count towards their period of study, and the time limitation provided in the sixth paragraph of this article is not taken into account for students in a such situation.</w:t>
      </w:r>
    </w:p>
    <w:p w14:paraId="0F0A643A" w14:textId="54BEFAFC" w:rsidR="003300C5" w:rsidRPr="00636F59" w:rsidRDefault="00E14569" w:rsidP="00C47475">
      <w:pPr>
        <w:tabs>
          <w:tab w:val="left" w:pos="1173"/>
        </w:tabs>
        <w:spacing w:before="74"/>
        <w:ind w:right="1004"/>
        <w:jc w:val="center"/>
        <w:rPr>
          <w:sz w:val="24"/>
          <w:szCs w:val="24"/>
        </w:rPr>
      </w:pPr>
      <w:r>
        <w:rPr>
          <w:b/>
          <w:sz w:val="24"/>
          <w:szCs w:val="24"/>
        </w:rPr>
        <w:t>SECTION THREE</w:t>
      </w:r>
    </w:p>
    <w:p w14:paraId="1CB3B7E0" w14:textId="77777777" w:rsidR="003300C5" w:rsidRPr="00636F59" w:rsidRDefault="00066666" w:rsidP="00C47475">
      <w:pPr>
        <w:spacing w:before="3"/>
        <w:ind w:right="1007"/>
        <w:jc w:val="center"/>
        <w:rPr>
          <w:b/>
          <w:sz w:val="24"/>
          <w:szCs w:val="24"/>
        </w:rPr>
      </w:pPr>
      <w:r>
        <w:rPr>
          <w:b/>
          <w:sz w:val="24"/>
          <w:szCs w:val="24"/>
        </w:rPr>
        <w:t>Success and Graduation</w:t>
      </w:r>
    </w:p>
    <w:p w14:paraId="1A2A15C8" w14:textId="77777777" w:rsidR="003300C5" w:rsidRPr="00636F59" w:rsidRDefault="00066666">
      <w:pPr>
        <w:pStyle w:val="Balk1"/>
        <w:spacing w:line="273" w:lineRule="exact"/>
        <w:jc w:val="both"/>
      </w:pPr>
      <w:r>
        <w:t>Success and graduation</w:t>
      </w:r>
    </w:p>
    <w:p w14:paraId="5B926482" w14:textId="61DD6E45" w:rsidR="003300C5" w:rsidRPr="00636F59" w:rsidRDefault="00066666">
      <w:pPr>
        <w:pStyle w:val="GvdeMetni"/>
        <w:ind w:left="116" w:right="116" w:firstLine="706"/>
        <w:jc w:val="both"/>
      </w:pPr>
      <w:r>
        <w:rPr>
          <w:b/>
        </w:rPr>
        <w:t>ARTICLE 7-</w:t>
      </w:r>
      <w:r>
        <w:t xml:space="preserve"> (1) Students may quit the double major programs at their own request. Student do not have to repeat double major program courses which they have failed when they quit the program.</w:t>
      </w:r>
    </w:p>
    <w:p w14:paraId="1A26BAAD" w14:textId="77777777" w:rsidR="003300C5" w:rsidRPr="00636F59" w:rsidRDefault="003300C5">
      <w:pPr>
        <w:pStyle w:val="GvdeMetni"/>
        <w:spacing w:before="8"/>
      </w:pPr>
    </w:p>
    <w:p w14:paraId="7426BB86" w14:textId="200342D5" w:rsidR="0037529E" w:rsidRPr="004740A5" w:rsidRDefault="009E702B" w:rsidP="009E702B">
      <w:pPr>
        <w:pStyle w:val="GvdeMetni"/>
        <w:ind w:left="116" w:right="116" w:firstLine="706"/>
        <w:jc w:val="both"/>
        <w:rPr>
          <w:rFonts w:eastAsia="Times New Roman,Bold"/>
          <w:bCs/>
          <w:color w:val="000000"/>
        </w:rPr>
      </w:pPr>
      <w:r>
        <w:t xml:space="preserve">(2) </w:t>
      </w:r>
      <w:r>
        <w:rPr>
          <w:b/>
        </w:rPr>
        <w:t>(Senate Resolution dated 28.06.2024 no. 7)</w:t>
      </w:r>
      <w:r>
        <w:t xml:space="preserve"> To graduate from double-major programs, students are required to achieve a CGPA of at least 2.72/ 4.00.</w:t>
      </w:r>
      <w:r>
        <w:rPr>
          <w:bCs/>
          <w:color w:val="000000"/>
        </w:rPr>
        <w:t xml:space="preserve"> Student CGPA in their main major program may drop down to 2.50/4.00 once during the period for the entire double major program. Students dropping below 2.72/4.00 in terms of CGPA in their main major program for a second time are deregistered from their second major program.</w:t>
      </w:r>
    </w:p>
    <w:p w14:paraId="3DAA5A67" w14:textId="77777777" w:rsidR="00FA60F4" w:rsidRPr="004740A5" w:rsidRDefault="00FA60F4" w:rsidP="009E702B">
      <w:pPr>
        <w:pStyle w:val="GvdeMetni"/>
        <w:ind w:left="116" w:right="116" w:firstLine="706"/>
        <w:jc w:val="both"/>
        <w:rPr>
          <w:color w:val="000000"/>
        </w:rPr>
      </w:pPr>
    </w:p>
    <w:p w14:paraId="2D101EAC" w14:textId="19CD2FD8" w:rsidR="00055C39" w:rsidRPr="004740A5" w:rsidRDefault="00155A2B" w:rsidP="00155A2B">
      <w:pPr>
        <w:pStyle w:val="GvdeMetni"/>
        <w:ind w:left="116" w:right="116" w:firstLine="706"/>
        <w:jc w:val="both"/>
        <w:rPr>
          <w:color w:val="000000"/>
        </w:rPr>
      </w:pPr>
      <w:r>
        <w:t xml:space="preserve">(3) </w:t>
      </w:r>
      <w:r>
        <w:rPr>
          <w:b/>
        </w:rPr>
        <w:t xml:space="preserve">(Senate Resolution dated 28.06.2024 no. 7) </w:t>
      </w:r>
      <w:r>
        <w:t>A diploma is given for their second major to students who have achieved the right to graduate by meeting the other requirements for graduation, provided that they have a GPA of at least 2.72 out of 4.00 in the major program, and who complete the double major program with a GPA of at least 2.00 out of 4.00.</w:t>
      </w:r>
    </w:p>
    <w:p w14:paraId="167AB72C" w14:textId="77777777" w:rsidR="00BB7A22" w:rsidRPr="004740A5" w:rsidRDefault="00BB7A22" w:rsidP="00155A2B">
      <w:pPr>
        <w:pStyle w:val="GvdeMetni"/>
        <w:ind w:left="116" w:right="116" w:firstLine="706"/>
        <w:jc w:val="both"/>
        <w:rPr>
          <w:color w:val="000000"/>
        </w:rPr>
      </w:pPr>
    </w:p>
    <w:p w14:paraId="2FEC7F21" w14:textId="61912F37" w:rsidR="00F3079E" w:rsidRPr="0052329F" w:rsidRDefault="00941222" w:rsidP="00F3079E">
      <w:pPr>
        <w:pStyle w:val="GvdeMetni"/>
        <w:ind w:left="116" w:right="116" w:firstLine="604"/>
        <w:jc w:val="both"/>
      </w:pPr>
      <w:r>
        <w:t xml:space="preserve">(4) </w:t>
      </w:r>
      <w:r>
        <w:rPr>
          <w:b/>
        </w:rPr>
        <w:t>(Senate Resolution dated 28.06.2024 no. 7)</w:t>
      </w:r>
      <w:r>
        <w:t xml:space="preserve"> Double major program students are taken into account in the calculation of success rankings in both the major and double major programs.</w:t>
      </w:r>
    </w:p>
    <w:p w14:paraId="162C07BC" w14:textId="1ED5F220" w:rsidR="003300C5" w:rsidRPr="00636F59" w:rsidRDefault="003300C5" w:rsidP="00F3079E">
      <w:pPr>
        <w:pStyle w:val="GvdeMetni"/>
        <w:ind w:left="116" w:right="116" w:firstLine="706"/>
        <w:jc w:val="both"/>
      </w:pPr>
    </w:p>
    <w:p w14:paraId="5F230A9F" w14:textId="77777777" w:rsidR="00055C39" w:rsidRPr="00636F59" w:rsidRDefault="00055C39" w:rsidP="00055C39">
      <w:pPr>
        <w:pStyle w:val="GvdeMetni"/>
        <w:ind w:left="116" w:right="116" w:firstLine="706"/>
        <w:jc w:val="both"/>
      </w:pPr>
      <w:r>
        <w:t>(5) The maximum study period of students who have completed their major programs successfully but not completed their double major programs is specified in the paragraph C of the Article 44 of the Law no 2547.</w:t>
      </w:r>
    </w:p>
    <w:p w14:paraId="7DAD8697" w14:textId="77777777" w:rsidR="00055C39" w:rsidRPr="00636F59" w:rsidRDefault="00055C39" w:rsidP="00055C39">
      <w:pPr>
        <w:pStyle w:val="GvdeMetni"/>
        <w:ind w:left="116" w:right="116" w:firstLine="706"/>
        <w:jc w:val="both"/>
      </w:pPr>
    </w:p>
    <w:p w14:paraId="4FEDB666" w14:textId="42C2681B" w:rsidR="003300C5" w:rsidRPr="00636F59" w:rsidRDefault="00055C39" w:rsidP="00055C39">
      <w:pPr>
        <w:pStyle w:val="GvdeMetni"/>
        <w:ind w:left="116" w:right="116" w:firstLine="706"/>
        <w:jc w:val="both"/>
      </w:pPr>
      <w:r>
        <w:t xml:space="preserve">(6) </w:t>
      </w:r>
      <w:r>
        <w:rPr>
          <w:b/>
        </w:rPr>
        <w:t>(Senate Resolution dated 18.12.2019, no. 10</w:t>
      </w:r>
      <w:r w:rsidR="00C47475">
        <w:rPr>
          <w:b/>
        </w:rPr>
        <w:t xml:space="preserve">) </w:t>
      </w:r>
      <w:r w:rsidR="00C47475">
        <w:t>Students</w:t>
      </w:r>
      <w:r>
        <w:t xml:space="preserve"> continuing their double major programs are granted their graduation diploma only if they graduate from their main major program successfully.</w:t>
      </w:r>
    </w:p>
    <w:p w14:paraId="5D6DE94C" w14:textId="77777777" w:rsidR="00095C99" w:rsidRDefault="00095C99" w:rsidP="00055C39">
      <w:pPr>
        <w:pStyle w:val="GvdeMetni"/>
        <w:ind w:left="116" w:right="116" w:firstLine="706"/>
        <w:jc w:val="both"/>
      </w:pPr>
    </w:p>
    <w:p w14:paraId="3028884A" w14:textId="77777777" w:rsidR="003300C5" w:rsidRPr="00636F59" w:rsidRDefault="00066666">
      <w:pPr>
        <w:pStyle w:val="Balk1"/>
        <w:ind w:left="1008" w:right="1008"/>
      </w:pPr>
      <w:r>
        <w:t>SECTION FOUR</w:t>
      </w:r>
    </w:p>
    <w:p w14:paraId="1E014CBC" w14:textId="77777777" w:rsidR="003300C5" w:rsidRPr="00636F59" w:rsidRDefault="00066666">
      <w:pPr>
        <w:spacing w:line="275" w:lineRule="exact"/>
        <w:ind w:left="1008" w:right="1008"/>
        <w:jc w:val="center"/>
        <w:rPr>
          <w:b/>
          <w:sz w:val="24"/>
          <w:szCs w:val="24"/>
        </w:rPr>
      </w:pPr>
      <w:r>
        <w:rPr>
          <w:b/>
          <w:sz w:val="24"/>
          <w:szCs w:val="24"/>
        </w:rPr>
        <w:t>Miscellaneous Provisions</w:t>
      </w:r>
    </w:p>
    <w:p w14:paraId="46689C9F" w14:textId="77777777" w:rsidR="003300C5" w:rsidRPr="00636F59" w:rsidRDefault="00066666">
      <w:pPr>
        <w:pStyle w:val="Balk1"/>
        <w:jc w:val="left"/>
      </w:pPr>
      <w:r>
        <w:t>Quotas</w:t>
      </w:r>
    </w:p>
    <w:p w14:paraId="364D5EC6" w14:textId="237528F1" w:rsidR="003300C5" w:rsidRPr="00636F59" w:rsidRDefault="00066666">
      <w:pPr>
        <w:ind w:left="116" w:right="112" w:firstLine="706"/>
        <w:jc w:val="both"/>
        <w:rPr>
          <w:sz w:val="24"/>
          <w:szCs w:val="24"/>
        </w:rPr>
      </w:pPr>
      <w:r>
        <w:rPr>
          <w:b/>
          <w:sz w:val="24"/>
          <w:szCs w:val="24"/>
        </w:rPr>
        <w:t>ARTICLE 8</w:t>
      </w:r>
      <w:r>
        <w:rPr>
          <w:sz w:val="24"/>
          <w:szCs w:val="24"/>
        </w:rPr>
        <w:t xml:space="preserve"> - (1) </w:t>
      </w:r>
      <w:r>
        <w:rPr>
          <w:b/>
          <w:sz w:val="24"/>
          <w:szCs w:val="24"/>
        </w:rPr>
        <w:t>(Senate Resolution dated 18.12.2019, no. 10</w:t>
      </w:r>
      <w:r w:rsidR="00C47475">
        <w:rPr>
          <w:b/>
          <w:sz w:val="24"/>
          <w:szCs w:val="24"/>
        </w:rPr>
        <w:t xml:space="preserve">) </w:t>
      </w:r>
      <w:r w:rsidR="00C47475">
        <w:rPr>
          <w:sz w:val="24"/>
          <w:szCs w:val="24"/>
        </w:rPr>
        <w:t>Double</w:t>
      </w:r>
      <w:r>
        <w:rPr>
          <w:sz w:val="24"/>
          <w:szCs w:val="24"/>
        </w:rPr>
        <w:t xml:space="preserve"> major program quotas are determined and finalizes with a Senate Resolution when each academic year begins.</w:t>
      </w:r>
    </w:p>
    <w:p w14:paraId="2897233F" w14:textId="77777777" w:rsidR="003300C5" w:rsidRPr="00636F59" w:rsidRDefault="00066666">
      <w:pPr>
        <w:pStyle w:val="Balk1"/>
        <w:spacing w:line="272" w:lineRule="exact"/>
        <w:jc w:val="both"/>
      </w:pPr>
      <w:r>
        <w:lastRenderedPageBreak/>
        <w:t>Student Transfers</w:t>
      </w:r>
    </w:p>
    <w:p w14:paraId="492FE999" w14:textId="421FFBB3" w:rsidR="003300C5" w:rsidRPr="00636F59" w:rsidRDefault="00066666">
      <w:pPr>
        <w:pStyle w:val="GvdeMetni"/>
        <w:ind w:left="116" w:right="121" w:firstLine="706"/>
        <w:jc w:val="both"/>
      </w:pPr>
      <w:r>
        <w:rPr>
          <w:b/>
        </w:rPr>
        <w:t>ARTICLE 9</w:t>
      </w:r>
      <w:r>
        <w:t>- (1) Double major students have the right to be transferred into a second major diploma program, if they meet the conditions of intra-institution transfer in their major diploma programs.</w:t>
      </w:r>
    </w:p>
    <w:p w14:paraId="6E795292" w14:textId="77777777" w:rsidR="00172689" w:rsidRPr="00636F59" w:rsidRDefault="00172689">
      <w:pPr>
        <w:pStyle w:val="GvdeMetni"/>
        <w:ind w:left="116" w:right="121" w:firstLine="706"/>
        <w:jc w:val="both"/>
      </w:pPr>
    </w:p>
    <w:p w14:paraId="43C7B2F1" w14:textId="77777777" w:rsidR="003300C5" w:rsidRPr="005D3393" w:rsidRDefault="00066666">
      <w:pPr>
        <w:pStyle w:val="Balk1"/>
        <w:spacing w:before="232" w:line="272" w:lineRule="exact"/>
        <w:jc w:val="both"/>
      </w:pPr>
      <w:r>
        <w:t>Period extensions and scholarship students</w:t>
      </w:r>
    </w:p>
    <w:p w14:paraId="2E80D0A6" w14:textId="1B250D72" w:rsidR="0065082B" w:rsidRPr="00636F59" w:rsidRDefault="00C75C91" w:rsidP="00C75C91">
      <w:pPr>
        <w:pStyle w:val="GvdeMetni"/>
        <w:ind w:left="142" w:right="108" w:firstLine="578"/>
        <w:jc w:val="both"/>
        <w:rPr>
          <w:shd w:val="clear" w:color="auto" w:fill="FFFFFF"/>
        </w:rPr>
      </w:pPr>
      <w:r>
        <w:rPr>
          <w:b/>
        </w:rPr>
        <w:t xml:space="preserve">  ARTICLE 10 -</w:t>
      </w:r>
      <w:r>
        <w:t xml:space="preserve"> (1) </w:t>
      </w:r>
      <w:r>
        <w:rPr>
          <w:b/>
        </w:rPr>
        <w:t>(Senate Resolution dated 28.06.2024 no. 07)</w:t>
      </w:r>
      <w:r>
        <w:t xml:space="preserve"> Students who are enrolled in undergraduate degree programs of Atılım University with scholarships or discounts on the grounds of their ÖSYM placement results and who continue their double major programs to graduate from their major programs within the normal education period while unable to complete their double major program are to pay tuition fees at the same rate as their major for a maximum of two more semesters. Students failing to graduate at the end of this extension period shall lose their scholarships or discounts completely. Scholarship and discount statuses only cover students registering with their YKS and DGS results. Other students benefiting from other scholarships and discounts lose their scholarship.</w:t>
      </w:r>
      <w:r>
        <w:rPr>
          <w:color w:val="000000"/>
          <w:shd w:val="clear" w:color="auto" w:fill="FFFFFF"/>
        </w:rPr>
        <w:t xml:space="preserve"> </w:t>
      </w:r>
    </w:p>
    <w:p w14:paraId="6B4B6721" w14:textId="77777777" w:rsidR="00724765" w:rsidRPr="00C47475" w:rsidRDefault="00724765" w:rsidP="00B4217D">
      <w:pPr>
        <w:pStyle w:val="Balk1"/>
        <w:spacing w:before="93" w:line="272" w:lineRule="exact"/>
        <w:ind w:left="116" w:firstLine="618"/>
        <w:jc w:val="both"/>
        <w:rPr>
          <w:sz w:val="14"/>
        </w:rPr>
      </w:pPr>
    </w:p>
    <w:p w14:paraId="7CFF7574" w14:textId="0CC13643" w:rsidR="003300C5" w:rsidRPr="00933665" w:rsidRDefault="00066666" w:rsidP="00B4217D">
      <w:pPr>
        <w:pStyle w:val="Balk1"/>
        <w:spacing w:before="93" w:line="272" w:lineRule="exact"/>
        <w:ind w:left="116" w:firstLine="618"/>
        <w:jc w:val="both"/>
      </w:pPr>
      <w:r>
        <w:t>Evaluation of courses</w:t>
      </w:r>
    </w:p>
    <w:p w14:paraId="0352F64F" w14:textId="18293D58" w:rsidR="004F6A6D" w:rsidRPr="008B597E" w:rsidRDefault="00D22CE9" w:rsidP="00974A68">
      <w:pPr>
        <w:pStyle w:val="GvdeMetni"/>
        <w:ind w:left="116" w:right="121" w:firstLine="604"/>
        <w:jc w:val="both"/>
        <w:rPr>
          <w:color w:val="000000"/>
        </w:rPr>
      </w:pPr>
      <w:r>
        <w:rPr>
          <w:b/>
        </w:rPr>
        <w:t>ARTICLE 11</w:t>
      </w:r>
      <w:r>
        <w:t xml:space="preserve"> - (1) This item has been repealed as per </w:t>
      </w:r>
      <w:r>
        <w:rPr>
          <w:b/>
        </w:rPr>
        <w:t>(Senate Resolution dated 28.06.2024 no. 7)</w:t>
      </w:r>
      <w:r>
        <w:t>.</w:t>
      </w:r>
    </w:p>
    <w:p w14:paraId="671229C5" w14:textId="77777777" w:rsidR="008B597E" w:rsidRDefault="008B597E" w:rsidP="008B597E">
      <w:pPr>
        <w:pStyle w:val="GvdeMetni"/>
        <w:ind w:left="116" w:right="121" w:firstLine="604"/>
        <w:jc w:val="both"/>
        <w:rPr>
          <w:color w:val="000000"/>
        </w:rPr>
      </w:pPr>
    </w:p>
    <w:p w14:paraId="479617CB" w14:textId="13CD4B19" w:rsidR="005C05B7" w:rsidRPr="00636F59" w:rsidRDefault="005C05B7" w:rsidP="008B597E">
      <w:pPr>
        <w:pStyle w:val="GvdeMetni"/>
        <w:ind w:left="116" w:right="121" w:firstLine="604"/>
        <w:jc w:val="both"/>
        <w:rPr>
          <w:color w:val="000000"/>
        </w:rPr>
      </w:pPr>
      <w:r>
        <w:t xml:space="preserve">(2) - </w:t>
      </w:r>
      <w:r>
        <w:rPr>
          <w:b/>
        </w:rPr>
        <w:t>(Senate Resolution dated 28.06.2024, no. 07)</w:t>
      </w:r>
      <w:r>
        <w:t xml:space="preserve"> Students who are not registered in a minor program and exmatriculated from their double major program for any reason may register in a minor program derived from their double major programs, with the decision of the relevant executive board and upon their own request within the study period of their main major program.</w:t>
      </w:r>
      <w:r>
        <w:rPr>
          <w:color w:val="000000"/>
        </w:rPr>
        <w:t xml:space="preserve"> Those who are registered are subject to the provisions of the directive on minor programs of Atılım University. If they are successful in the minor program or meet all the requirements to complete the program, they are entitled to receive a minor program certificate.</w:t>
      </w:r>
    </w:p>
    <w:p w14:paraId="16FDFA68" w14:textId="77777777" w:rsidR="003300C5" w:rsidRPr="00636F59" w:rsidRDefault="003300C5">
      <w:pPr>
        <w:pStyle w:val="GvdeMetni"/>
        <w:spacing w:before="6"/>
      </w:pPr>
    </w:p>
    <w:p w14:paraId="287C1CAF" w14:textId="77777777" w:rsidR="003300C5" w:rsidRPr="00636F59" w:rsidRDefault="00066666">
      <w:pPr>
        <w:pStyle w:val="Balk1"/>
        <w:jc w:val="both"/>
      </w:pPr>
      <w:r>
        <w:t>Repealed directive</w:t>
      </w:r>
    </w:p>
    <w:p w14:paraId="3C652231" w14:textId="77777777" w:rsidR="003300C5" w:rsidRPr="00636F59" w:rsidRDefault="00066666">
      <w:pPr>
        <w:pStyle w:val="GvdeMetni"/>
        <w:ind w:left="116" w:right="113" w:firstLine="706"/>
        <w:jc w:val="both"/>
      </w:pPr>
      <w:r>
        <w:rPr>
          <w:b/>
        </w:rPr>
        <w:t>ARTICLE 12</w:t>
      </w:r>
      <w:r>
        <w:t xml:space="preserve"> - (1) Atılım University Directive on Double Major Programs, accepted as per the Senate Resolution dated 22.06.2010 no. 06 has been repealed.</w:t>
      </w:r>
    </w:p>
    <w:p w14:paraId="0EDD899F" w14:textId="77777777" w:rsidR="003300C5" w:rsidRPr="00636F59" w:rsidRDefault="003300C5">
      <w:pPr>
        <w:pStyle w:val="GvdeMetni"/>
        <w:spacing w:before="8"/>
      </w:pPr>
    </w:p>
    <w:p w14:paraId="39AA7D2C" w14:textId="2ED819FE" w:rsidR="00724765" w:rsidRDefault="00724765" w:rsidP="00724765">
      <w:pPr>
        <w:pStyle w:val="GvdeMetni"/>
        <w:ind w:left="116" w:right="121" w:firstLine="604"/>
        <w:jc w:val="both"/>
      </w:pPr>
      <w:r>
        <w:rPr>
          <w:b/>
        </w:rPr>
        <w:t>PROVISIONAL ARTICLE 1</w:t>
      </w:r>
      <w:r>
        <w:t xml:space="preserve"> - (1) This item has been repealed </w:t>
      </w:r>
      <w:r>
        <w:rPr>
          <w:b/>
        </w:rPr>
        <w:t>(Senate Resolution dated 28.06.2024 no. 07)</w:t>
      </w:r>
      <w:r>
        <w:t>.</w:t>
      </w:r>
    </w:p>
    <w:p w14:paraId="3369E962" w14:textId="77777777" w:rsidR="00C47475" w:rsidRPr="00BF5F2C" w:rsidRDefault="00C47475" w:rsidP="00724765">
      <w:pPr>
        <w:pStyle w:val="GvdeMetni"/>
        <w:ind w:left="116" w:right="121" w:firstLine="604"/>
        <w:jc w:val="both"/>
      </w:pPr>
      <w:bookmarkStart w:id="0" w:name="_GoBack"/>
      <w:bookmarkEnd w:id="0"/>
    </w:p>
    <w:p w14:paraId="5C90CDEF" w14:textId="4C27991E" w:rsidR="00724765" w:rsidRPr="00674824" w:rsidRDefault="00724765" w:rsidP="00724765">
      <w:pPr>
        <w:pStyle w:val="GvdeMetni"/>
        <w:ind w:left="116" w:right="121" w:firstLine="604"/>
        <w:jc w:val="both"/>
      </w:pPr>
      <w:r>
        <w:rPr>
          <w:b/>
        </w:rPr>
        <w:t>PROVISIONAL ARTICLE 2 - (1) (Senate Resolution dated 28.06.2024 no. 07)</w:t>
      </w:r>
      <w:r>
        <w:t xml:space="preserve"> The second and third paragraphs of Article 7 of this Directive do not apply to students who registered in a minor program before 26.09.2023.  These students are subject to the provisions of the directive that came into effect upon Senate Resolution dated 10.01.2023 no. 01.</w:t>
      </w:r>
    </w:p>
    <w:p w14:paraId="53CE1997" w14:textId="77777777" w:rsidR="003300C5" w:rsidRPr="00636F59" w:rsidRDefault="003300C5">
      <w:pPr>
        <w:pStyle w:val="GvdeMetni"/>
        <w:spacing w:before="2"/>
      </w:pPr>
    </w:p>
    <w:p w14:paraId="24B8A055" w14:textId="77777777" w:rsidR="003300C5" w:rsidRPr="00636F59" w:rsidRDefault="00066666">
      <w:pPr>
        <w:pStyle w:val="Balk1"/>
        <w:spacing w:line="273" w:lineRule="exact"/>
        <w:jc w:val="left"/>
      </w:pPr>
      <w:r>
        <w:t>Effective Date</w:t>
      </w:r>
    </w:p>
    <w:p w14:paraId="59EB94A0" w14:textId="77777777" w:rsidR="003300C5" w:rsidRPr="00636F59" w:rsidRDefault="00066666">
      <w:pPr>
        <w:pStyle w:val="GvdeMetni"/>
        <w:spacing w:line="273" w:lineRule="exact"/>
        <w:ind w:left="822"/>
      </w:pPr>
      <w:r>
        <w:rPr>
          <w:b/>
        </w:rPr>
        <w:t>ARTICLE 13-</w:t>
      </w:r>
      <w:r>
        <w:t>(1) This Directive shall take effect after its approval by the Senate.</w:t>
      </w:r>
    </w:p>
    <w:p w14:paraId="3DB19D5C" w14:textId="77777777" w:rsidR="003300C5" w:rsidRPr="00636F59" w:rsidRDefault="003300C5">
      <w:pPr>
        <w:pStyle w:val="GvdeMetni"/>
        <w:spacing w:before="5"/>
      </w:pPr>
    </w:p>
    <w:p w14:paraId="61EEA717" w14:textId="77777777" w:rsidR="003300C5" w:rsidRPr="00636F59" w:rsidRDefault="00066666">
      <w:pPr>
        <w:pStyle w:val="Balk1"/>
        <w:jc w:val="left"/>
      </w:pPr>
      <w:r>
        <w:t>Execution</w:t>
      </w:r>
    </w:p>
    <w:p w14:paraId="1B8D00F0" w14:textId="77777777" w:rsidR="003300C5" w:rsidRPr="00636F59" w:rsidRDefault="00066666">
      <w:pPr>
        <w:pStyle w:val="GvdeMetni"/>
        <w:spacing w:line="275" w:lineRule="exact"/>
        <w:ind w:left="822"/>
      </w:pPr>
      <w:r>
        <w:rPr>
          <w:b/>
        </w:rPr>
        <w:t xml:space="preserve">ARTICLE 14 - </w:t>
      </w:r>
      <w:r>
        <w:t>(1) This Directive is executed by the President of Atılım University.</w:t>
      </w:r>
    </w:p>
    <w:sectPr w:rsidR="003300C5" w:rsidRPr="00636F59" w:rsidSect="005E0F53">
      <w:headerReference w:type="default" r:id="rId10"/>
      <w:footerReference w:type="default" r:id="rId11"/>
      <w:pgSz w:w="11910" w:h="16840"/>
      <w:pgMar w:top="567"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DB94" w14:textId="77777777" w:rsidR="006F5F5E" w:rsidRDefault="006F5F5E">
      <w:r>
        <w:separator/>
      </w:r>
    </w:p>
  </w:endnote>
  <w:endnote w:type="continuationSeparator" w:id="0">
    <w:p w14:paraId="6FE11A2F" w14:textId="77777777" w:rsidR="006F5F5E" w:rsidRDefault="006F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5FB46DDC" w14:paraId="5A698FB6" w14:textId="77777777" w:rsidTr="5FB46DDC">
      <w:trPr>
        <w:trHeight w:val="300"/>
      </w:trPr>
      <w:tc>
        <w:tcPr>
          <w:tcW w:w="3100" w:type="dxa"/>
        </w:tcPr>
        <w:p w14:paraId="1B0C44D5" w14:textId="26B32ED0" w:rsidR="5FB46DDC" w:rsidRDefault="5FB46DDC" w:rsidP="5FB46DDC">
          <w:pPr>
            <w:pStyle w:val="stBilgi"/>
            <w:ind w:left="-115"/>
          </w:pPr>
        </w:p>
      </w:tc>
      <w:tc>
        <w:tcPr>
          <w:tcW w:w="3100" w:type="dxa"/>
        </w:tcPr>
        <w:p w14:paraId="0F245EE6" w14:textId="7E548A52" w:rsidR="5FB46DDC" w:rsidRDefault="5FB46DDC" w:rsidP="5FB46DDC">
          <w:pPr>
            <w:pStyle w:val="stBilgi"/>
            <w:jc w:val="center"/>
          </w:pPr>
        </w:p>
      </w:tc>
      <w:tc>
        <w:tcPr>
          <w:tcW w:w="3100" w:type="dxa"/>
        </w:tcPr>
        <w:p w14:paraId="2C6783AD" w14:textId="0A3D8846" w:rsidR="5FB46DDC" w:rsidRDefault="5FB46DDC" w:rsidP="5FB46DDC">
          <w:pPr>
            <w:pStyle w:val="stBilgi"/>
            <w:ind w:right="-115"/>
            <w:jc w:val="right"/>
          </w:pPr>
        </w:p>
      </w:tc>
    </w:tr>
  </w:tbl>
  <w:p w14:paraId="6B945790" w14:textId="4B9F3813" w:rsidR="5FB46DDC" w:rsidRDefault="5FB46DDC" w:rsidP="5FB46D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694F" w14:textId="77777777" w:rsidR="006F5F5E" w:rsidRDefault="006F5F5E">
      <w:r>
        <w:separator/>
      </w:r>
    </w:p>
  </w:footnote>
  <w:footnote w:type="continuationSeparator" w:id="0">
    <w:p w14:paraId="67DEBBA2" w14:textId="77777777" w:rsidR="006F5F5E" w:rsidRDefault="006F5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00"/>
      <w:gridCol w:w="3100"/>
      <w:gridCol w:w="3100"/>
    </w:tblGrid>
    <w:tr w:rsidR="5FB46DDC" w14:paraId="1A5F76C8" w14:textId="77777777" w:rsidTr="5FB46DDC">
      <w:trPr>
        <w:trHeight w:val="300"/>
      </w:trPr>
      <w:tc>
        <w:tcPr>
          <w:tcW w:w="3100" w:type="dxa"/>
        </w:tcPr>
        <w:p w14:paraId="4E971B43" w14:textId="64D9E760" w:rsidR="5FB46DDC" w:rsidRDefault="5FB46DDC" w:rsidP="5FB46DDC">
          <w:pPr>
            <w:pStyle w:val="stBilgi"/>
            <w:ind w:left="-115"/>
          </w:pPr>
        </w:p>
      </w:tc>
      <w:tc>
        <w:tcPr>
          <w:tcW w:w="3100" w:type="dxa"/>
        </w:tcPr>
        <w:p w14:paraId="4B7FB29E" w14:textId="0771705A" w:rsidR="5FB46DDC" w:rsidRDefault="5FB46DDC" w:rsidP="5FB46DDC">
          <w:pPr>
            <w:pStyle w:val="stBilgi"/>
            <w:jc w:val="center"/>
          </w:pPr>
        </w:p>
      </w:tc>
      <w:tc>
        <w:tcPr>
          <w:tcW w:w="3100" w:type="dxa"/>
        </w:tcPr>
        <w:p w14:paraId="33682FA6" w14:textId="6CEC9F72" w:rsidR="5FB46DDC" w:rsidRDefault="5FB46DDC" w:rsidP="5FB46DDC">
          <w:pPr>
            <w:pStyle w:val="stBilgi"/>
            <w:ind w:right="-115"/>
            <w:jc w:val="right"/>
          </w:pPr>
        </w:p>
      </w:tc>
    </w:tr>
  </w:tbl>
  <w:p w14:paraId="2F0FEB79" w14:textId="2B9484F8" w:rsidR="5FB46DDC" w:rsidRDefault="5FB46DDC" w:rsidP="5FB46DD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11BA"/>
    <w:multiLevelType w:val="hybridMultilevel"/>
    <w:tmpl w:val="8C609FB4"/>
    <w:lvl w:ilvl="0" w:tplc="2FBA6DF2">
      <w:start w:val="4"/>
      <w:numFmt w:val="decimal"/>
      <w:lvlText w:val="(%1)"/>
      <w:lvlJc w:val="left"/>
      <w:pPr>
        <w:ind w:left="1546" w:hanging="360"/>
      </w:pPr>
      <w:rPr>
        <w:rFonts w:hint="default"/>
        <w:b w:val="0"/>
      </w:rPr>
    </w:lvl>
    <w:lvl w:ilvl="1" w:tplc="041F0019" w:tentative="1">
      <w:start w:val="1"/>
      <w:numFmt w:val="lowerLetter"/>
      <w:lvlText w:val="%2."/>
      <w:lvlJc w:val="left"/>
      <w:pPr>
        <w:ind w:left="2266" w:hanging="360"/>
      </w:pPr>
    </w:lvl>
    <w:lvl w:ilvl="2" w:tplc="041F001B" w:tentative="1">
      <w:start w:val="1"/>
      <w:numFmt w:val="lowerRoman"/>
      <w:lvlText w:val="%3."/>
      <w:lvlJc w:val="right"/>
      <w:pPr>
        <w:ind w:left="2986" w:hanging="180"/>
      </w:pPr>
    </w:lvl>
    <w:lvl w:ilvl="3" w:tplc="041F000F" w:tentative="1">
      <w:start w:val="1"/>
      <w:numFmt w:val="decimal"/>
      <w:lvlText w:val="%4."/>
      <w:lvlJc w:val="left"/>
      <w:pPr>
        <w:ind w:left="3706" w:hanging="360"/>
      </w:pPr>
    </w:lvl>
    <w:lvl w:ilvl="4" w:tplc="041F0019" w:tentative="1">
      <w:start w:val="1"/>
      <w:numFmt w:val="lowerLetter"/>
      <w:lvlText w:val="%5."/>
      <w:lvlJc w:val="left"/>
      <w:pPr>
        <w:ind w:left="4426" w:hanging="360"/>
      </w:pPr>
    </w:lvl>
    <w:lvl w:ilvl="5" w:tplc="041F001B" w:tentative="1">
      <w:start w:val="1"/>
      <w:numFmt w:val="lowerRoman"/>
      <w:lvlText w:val="%6."/>
      <w:lvlJc w:val="right"/>
      <w:pPr>
        <w:ind w:left="5146" w:hanging="180"/>
      </w:pPr>
    </w:lvl>
    <w:lvl w:ilvl="6" w:tplc="041F000F" w:tentative="1">
      <w:start w:val="1"/>
      <w:numFmt w:val="decimal"/>
      <w:lvlText w:val="%7."/>
      <w:lvlJc w:val="left"/>
      <w:pPr>
        <w:ind w:left="5866" w:hanging="360"/>
      </w:pPr>
    </w:lvl>
    <w:lvl w:ilvl="7" w:tplc="041F0019" w:tentative="1">
      <w:start w:val="1"/>
      <w:numFmt w:val="lowerLetter"/>
      <w:lvlText w:val="%8."/>
      <w:lvlJc w:val="left"/>
      <w:pPr>
        <w:ind w:left="6586" w:hanging="360"/>
      </w:pPr>
    </w:lvl>
    <w:lvl w:ilvl="8" w:tplc="041F001B" w:tentative="1">
      <w:start w:val="1"/>
      <w:numFmt w:val="lowerRoman"/>
      <w:lvlText w:val="%9."/>
      <w:lvlJc w:val="right"/>
      <w:pPr>
        <w:ind w:left="7306" w:hanging="180"/>
      </w:pPr>
    </w:lvl>
  </w:abstractNum>
  <w:abstractNum w:abstractNumId="1" w15:restartNumberingAfterBreak="0">
    <w:nsid w:val="15D249C3"/>
    <w:multiLevelType w:val="hybridMultilevel"/>
    <w:tmpl w:val="58B213BC"/>
    <w:lvl w:ilvl="0" w:tplc="325EAE72">
      <w:start w:val="60"/>
      <w:numFmt w:val="decimal"/>
      <w:lvlText w:val="(%1)"/>
      <w:lvlJc w:val="left"/>
      <w:pPr>
        <w:ind w:left="116" w:hanging="533"/>
      </w:pPr>
      <w:rPr>
        <w:rFonts w:ascii="Times New Roman" w:eastAsia="Times New Roman" w:hAnsi="Times New Roman" w:cs="Times New Roman" w:hint="default"/>
        <w:spacing w:val="0"/>
        <w:w w:val="100"/>
        <w:sz w:val="24"/>
        <w:szCs w:val="24"/>
        <w:lang w:val="tr-TR" w:eastAsia="en-US" w:bidi="ar-SA"/>
      </w:rPr>
    </w:lvl>
    <w:lvl w:ilvl="1" w:tplc="4B5EBEF4">
      <w:start w:val="2"/>
      <w:numFmt w:val="decimal"/>
      <w:lvlText w:val="(%2)"/>
      <w:lvlJc w:val="left"/>
      <w:pPr>
        <w:ind w:left="116" w:hanging="432"/>
      </w:pPr>
      <w:rPr>
        <w:rFonts w:ascii="Times New Roman" w:eastAsia="Times New Roman" w:hAnsi="Times New Roman" w:cs="Times New Roman" w:hint="default"/>
        <w:spacing w:val="0"/>
        <w:w w:val="100"/>
        <w:sz w:val="24"/>
        <w:szCs w:val="24"/>
      </w:rPr>
    </w:lvl>
    <w:lvl w:ilvl="2" w:tplc="E4FC2120">
      <w:numFmt w:val="bullet"/>
      <w:lvlText w:val="•"/>
      <w:lvlJc w:val="left"/>
      <w:pPr>
        <w:ind w:left="1956" w:hanging="432"/>
      </w:pPr>
      <w:rPr>
        <w:rFonts w:hint="default"/>
        <w:lang w:val="tr-TR" w:eastAsia="en-US" w:bidi="ar-SA"/>
      </w:rPr>
    </w:lvl>
    <w:lvl w:ilvl="3" w:tplc="24BEDFB6">
      <w:numFmt w:val="bullet"/>
      <w:lvlText w:val="•"/>
      <w:lvlJc w:val="left"/>
      <w:pPr>
        <w:ind w:left="2875" w:hanging="432"/>
      </w:pPr>
      <w:rPr>
        <w:rFonts w:hint="default"/>
        <w:lang w:val="tr-TR" w:eastAsia="en-US" w:bidi="ar-SA"/>
      </w:rPr>
    </w:lvl>
    <w:lvl w:ilvl="4" w:tplc="E124D450">
      <w:numFmt w:val="bullet"/>
      <w:lvlText w:val="•"/>
      <w:lvlJc w:val="left"/>
      <w:pPr>
        <w:ind w:left="3793" w:hanging="432"/>
      </w:pPr>
      <w:rPr>
        <w:rFonts w:hint="default"/>
        <w:lang w:val="tr-TR" w:eastAsia="en-US" w:bidi="ar-SA"/>
      </w:rPr>
    </w:lvl>
    <w:lvl w:ilvl="5" w:tplc="7FB0FD78">
      <w:numFmt w:val="bullet"/>
      <w:lvlText w:val="•"/>
      <w:lvlJc w:val="left"/>
      <w:pPr>
        <w:ind w:left="4712" w:hanging="432"/>
      </w:pPr>
      <w:rPr>
        <w:rFonts w:hint="default"/>
        <w:lang w:val="tr-TR" w:eastAsia="en-US" w:bidi="ar-SA"/>
      </w:rPr>
    </w:lvl>
    <w:lvl w:ilvl="6" w:tplc="86C807FA">
      <w:numFmt w:val="bullet"/>
      <w:lvlText w:val="•"/>
      <w:lvlJc w:val="left"/>
      <w:pPr>
        <w:ind w:left="5630" w:hanging="432"/>
      </w:pPr>
      <w:rPr>
        <w:rFonts w:hint="default"/>
        <w:lang w:val="tr-TR" w:eastAsia="en-US" w:bidi="ar-SA"/>
      </w:rPr>
    </w:lvl>
    <w:lvl w:ilvl="7" w:tplc="844E0F40">
      <w:numFmt w:val="bullet"/>
      <w:lvlText w:val="•"/>
      <w:lvlJc w:val="left"/>
      <w:pPr>
        <w:ind w:left="6548" w:hanging="432"/>
      </w:pPr>
      <w:rPr>
        <w:rFonts w:hint="default"/>
        <w:lang w:val="tr-TR" w:eastAsia="en-US" w:bidi="ar-SA"/>
      </w:rPr>
    </w:lvl>
    <w:lvl w:ilvl="8" w:tplc="8C9239B6">
      <w:numFmt w:val="bullet"/>
      <w:lvlText w:val="•"/>
      <w:lvlJc w:val="left"/>
      <w:pPr>
        <w:ind w:left="7467" w:hanging="432"/>
      </w:pPr>
      <w:rPr>
        <w:rFonts w:hint="default"/>
        <w:lang w:val="tr-TR" w:eastAsia="en-US" w:bidi="ar-SA"/>
      </w:rPr>
    </w:lvl>
  </w:abstractNum>
  <w:abstractNum w:abstractNumId="2" w15:restartNumberingAfterBreak="0">
    <w:nsid w:val="444721C9"/>
    <w:multiLevelType w:val="hybridMultilevel"/>
    <w:tmpl w:val="C6649A8C"/>
    <w:lvl w:ilvl="0" w:tplc="F1E43AB0">
      <w:start w:val="1"/>
      <w:numFmt w:val="decimal"/>
      <w:lvlText w:val="(%1)"/>
      <w:lvlJc w:val="left"/>
      <w:pPr>
        <w:ind w:left="432" w:hanging="432"/>
      </w:pPr>
      <w:rPr>
        <w:rFonts w:ascii="Times New Roman" w:eastAsia="Times New Roman" w:hAnsi="Times New Roman" w:cs="Times New Roman" w:hint="default"/>
        <w:spacing w:val="0"/>
        <w:w w:val="100"/>
        <w:sz w:val="24"/>
        <w:szCs w:val="24"/>
        <w:lang w:val="tr-TR" w:eastAsia="en-US" w:bidi="ar-SA"/>
      </w:rPr>
    </w:lvl>
    <w:lvl w:ilvl="1" w:tplc="041F0019" w:tentative="1">
      <w:start w:val="1"/>
      <w:numFmt w:val="lowerLetter"/>
      <w:lvlText w:val="%2."/>
      <w:lvlJc w:val="left"/>
      <w:pPr>
        <w:ind w:left="1756" w:hanging="360"/>
      </w:pPr>
    </w:lvl>
    <w:lvl w:ilvl="2" w:tplc="041F001B" w:tentative="1">
      <w:start w:val="1"/>
      <w:numFmt w:val="lowerRoman"/>
      <w:lvlText w:val="%3."/>
      <w:lvlJc w:val="right"/>
      <w:pPr>
        <w:ind w:left="2476" w:hanging="180"/>
      </w:pPr>
    </w:lvl>
    <w:lvl w:ilvl="3" w:tplc="041F000F" w:tentative="1">
      <w:start w:val="1"/>
      <w:numFmt w:val="decimal"/>
      <w:lvlText w:val="%4."/>
      <w:lvlJc w:val="left"/>
      <w:pPr>
        <w:ind w:left="3196" w:hanging="360"/>
      </w:pPr>
    </w:lvl>
    <w:lvl w:ilvl="4" w:tplc="041F0019" w:tentative="1">
      <w:start w:val="1"/>
      <w:numFmt w:val="lowerLetter"/>
      <w:lvlText w:val="%5."/>
      <w:lvlJc w:val="left"/>
      <w:pPr>
        <w:ind w:left="3916" w:hanging="360"/>
      </w:pPr>
    </w:lvl>
    <w:lvl w:ilvl="5" w:tplc="041F001B" w:tentative="1">
      <w:start w:val="1"/>
      <w:numFmt w:val="lowerRoman"/>
      <w:lvlText w:val="%6."/>
      <w:lvlJc w:val="right"/>
      <w:pPr>
        <w:ind w:left="4636" w:hanging="180"/>
      </w:pPr>
    </w:lvl>
    <w:lvl w:ilvl="6" w:tplc="041F000F" w:tentative="1">
      <w:start w:val="1"/>
      <w:numFmt w:val="decimal"/>
      <w:lvlText w:val="%7."/>
      <w:lvlJc w:val="left"/>
      <w:pPr>
        <w:ind w:left="5356" w:hanging="360"/>
      </w:pPr>
    </w:lvl>
    <w:lvl w:ilvl="7" w:tplc="041F0019" w:tentative="1">
      <w:start w:val="1"/>
      <w:numFmt w:val="lowerLetter"/>
      <w:lvlText w:val="%8."/>
      <w:lvlJc w:val="left"/>
      <w:pPr>
        <w:ind w:left="6076" w:hanging="360"/>
      </w:pPr>
    </w:lvl>
    <w:lvl w:ilvl="8" w:tplc="041F001B" w:tentative="1">
      <w:start w:val="1"/>
      <w:numFmt w:val="lowerRoman"/>
      <w:lvlText w:val="%9."/>
      <w:lvlJc w:val="right"/>
      <w:pPr>
        <w:ind w:left="6796" w:hanging="180"/>
      </w:pPr>
    </w:lvl>
  </w:abstractNum>
  <w:abstractNum w:abstractNumId="3" w15:restartNumberingAfterBreak="0">
    <w:nsid w:val="4CE93E33"/>
    <w:multiLevelType w:val="hybridMultilevel"/>
    <w:tmpl w:val="34421820"/>
    <w:lvl w:ilvl="0" w:tplc="2FBA6DF2">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F8469D"/>
    <w:multiLevelType w:val="hybridMultilevel"/>
    <w:tmpl w:val="65500EDE"/>
    <w:lvl w:ilvl="0" w:tplc="97EE1E36">
      <w:start w:val="2"/>
      <w:numFmt w:val="decimal"/>
      <w:lvlText w:val="(%1)"/>
      <w:lvlJc w:val="left"/>
      <w:pPr>
        <w:ind w:left="720" w:hanging="432"/>
      </w:pPr>
      <w:rPr>
        <w:rFonts w:ascii="Times New Roman" w:eastAsia="Times New Roman" w:hAnsi="Times New Roman" w:cs="Times New Roman" w:hint="default"/>
        <w:spacing w:val="0"/>
        <w:w w:val="100"/>
        <w:sz w:val="24"/>
        <w:szCs w:val="24"/>
        <w:lang w:val="tr-TR" w:eastAsia="en-US" w:bidi="ar-SA"/>
      </w:rPr>
    </w:lvl>
    <w:lvl w:ilvl="1" w:tplc="568C9A08">
      <w:numFmt w:val="bullet"/>
      <w:lvlText w:val="•"/>
      <w:lvlJc w:val="left"/>
      <w:pPr>
        <w:ind w:left="1642" w:hanging="432"/>
      </w:pPr>
      <w:rPr>
        <w:rFonts w:hint="default"/>
        <w:lang w:val="tr-TR" w:eastAsia="en-US" w:bidi="ar-SA"/>
      </w:rPr>
    </w:lvl>
    <w:lvl w:ilvl="2" w:tplc="B3C0427A">
      <w:numFmt w:val="bullet"/>
      <w:lvlText w:val="•"/>
      <w:lvlJc w:val="left"/>
      <w:pPr>
        <w:ind w:left="2560" w:hanging="432"/>
      </w:pPr>
      <w:rPr>
        <w:rFonts w:hint="default"/>
        <w:lang w:val="tr-TR" w:eastAsia="en-US" w:bidi="ar-SA"/>
      </w:rPr>
    </w:lvl>
    <w:lvl w:ilvl="3" w:tplc="935476DE">
      <w:numFmt w:val="bullet"/>
      <w:lvlText w:val="•"/>
      <w:lvlJc w:val="left"/>
      <w:pPr>
        <w:ind w:left="3479" w:hanging="432"/>
      </w:pPr>
      <w:rPr>
        <w:rFonts w:hint="default"/>
        <w:lang w:val="tr-TR" w:eastAsia="en-US" w:bidi="ar-SA"/>
      </w:rPr>
    </w:lvl>
    <w:lvl w:ilvl="4" w:tplc="BA56057A">
      <w:numFmt w:val="bullet"/>
      <w:lvlText w:val="•"/>
      <w:lvlJc w:val="left"/>
      <w:pPr>
        <w:ind w:left="4397" w:hanging="432"/>
      </w:pPr>
      <w:rPr>
        <w:rFonts w:hint="default"/>
        <w:lang w:val="tr-TR" w:eastAsia="en-US" w:bidi="ar-SA"/>
      </w:rPr>
    </w:lvl>
    <w:lvl w:ilvl="5" w:tplc="703C2C24">
      <w:numFmt w:val="bullet"/>
      <w:lvlText w:val="•"/>
      <w:lvlJc w:val="left"/>
      <w:pPr>
        <w:ind w:left="5316" w:hanging="432"/>
      </w:pPr>
      <w:rPr>
        <w:rFonts w:hint="default"/>
        <w:lang w:val="tr-TR" w:eastAsia="en-US" w:bidi="ar-SA"/>
      </w:rPr>
    </w:lvl>
    <w:lvl w:ilvl="6" w:tplc="D51C484C">
      <w:numFmt w:val="bullet"/>
      <w:lvlText w:val="•"/>
      <w:lvlJc w:val="left"/>
      <w:pPr>
        <w:ind w:left="6234" w:hanging="432"/>
      </w:pPr>
      <w:rPr>
        <w:rFonts w:hint="default"/>
        <w:lang w:val="tr-TR" w:eastAsia="en-US" w:bidi="ar-SA"/>
      </w:rPr>
    </w:lvl>
    <w:lvl w:ilvl="7" w:tplc="1B20DBBC">
      <w:numFmt w:val="bullet"/>
      <w:lvlText w:val="•"/>
      <w:lvlJc w:val="left"/>
      <w:pPr>
        <w:ind w:left="7152" w:hanging="432"/>
      </w:pPr>
      <w:rPr>
        <w:rFonts w:hint="default"/>
        <w:lang w:val="tr-TR" w:eastAsia="en-US" w:bidi="ar-SA"/>
      </w:rPr>
    </w:lvl>
    <w:lvl w:ilvl="8" w:tplc="62769D0A">
      <w:numFmt w:val="bullet"/>
      <w:lvlText w:val="•"/>
      <w:lvlJc w:val="left"/>
      <w:pPr>
        <w:ind w:left="8071" w:hanging="432"/>
      </w:pPr>
      <w:rPr>
        <w:rFonts w:hint="default"/>
        <w:lang w:val="tr-TR" w:eastAsia="en-US" w:bidi="ar-SA"/>
      </w:rPr>
    </w:lvl>
  </w:abstractNum>
  <w:abstractNum w:abstractNumId="5" w15:restartNumberingAfterBreak="0">
    <w:nsid w:val="58672439"/>
    <w:multiLevelType w:val="hybridMultilevel"/>
    <w:tmpl w:val="FFBEE7AC"/>
    <w:lvl w:ilvl="0" w:tplc="7844407C">
      <w:start w:val="2"/>
      <w:numFmt w:val="decimal"/>
      <w:lvlText w:val="(%1)"/>
      <w:lvlJc w:val="left"/>
      <w:pPr>
        <w:ind w:left="116" w:hanging="356"/>
      </w:pPr>
      <w:rPr>
        <w:rFonts w:ascii="Times New Roman" w:eastAsia="Times New Roman" w:hAnsi="Times New Roman" w:cs="Times New Roman" w:hint="default"/>
        <w:b w:val="0"/>
        <w:bCs/>
        <w:spacing w:val="0"/>
        <w:w w:val="99"/>
        <w:sz w:val="24"/>
        <w:szCs w:val="24"/>
        <w:lang w:val="tr-TR" w:eastAsia="en-US" w:bidi="ar-SA"/>
      </w:rPr>
    </w:lvl>
    <w:lvl w:ilvl="1" w:tplc="18F6E4B6">
      <w:numFmt w:val="bullet"/>
      <w:lvlText w:val="•"/>
      <w:lvlJc w:val="left"/>
      <w:pPr>
        <w:ind w:left="1038" w:hanging="356"/>
      </w:pPr>
      <w:rPr>
        <w:rFonts w:hint="default"/>
        <w:lang w:val="tr-TR" w:eastAsia="en-US" w:bidi="ar-SA"/>
      </w:rPr>
    </w:lvl>
    <w:lvl w:ilvl="2" w:tplc="BA74796C">
      <w:numFmt w:val="bullet"/>
      <w:lvlText w:val="•"/>
      <w:lvlJc w:val="left"/>
      <w:pPr>
        <w:ind w:left="1956" w:hanging="356"/>
      </w:pPr>
      <w:rPr>
        <w:rFonts w:hint="default"/>
        <w:lang w:val="tr-TR" w:eastAsia="en-US" w:bidi="ar-SA"/>
      </w:rPr>
    </w:lvl>
    <w:lvl w:ilvl="3" w:tplc="9D4CFA76">
      <w:numFmt w:val="bullet"/>
      <w:lvlText w:val="•"/>
      <w:lvlJc w:val="left"/>
      <w:pPr>
        <w:ind w:left="2875" w:hanging="356"/>
      </w:pPr>
      <w:rPr>
        <w:rFonts w:hint="default"/>
        <w:lang w:val="tr-TR" w:eastAsia="en-US" w:bidi="ar-SA"/>
      </w:rPr>
    </w:lvl>
    <w:lvl w:ilvl="4" w:tplc="3DD46CF8">
      <w:numFmt w:val="bullet"/>
      <w:lvlText w:val="•"/>
      <w:lvlJc w:val="left"/>
      <w:pPr>
        <w:ind w:left="3793" w:hanging="356"/>
      </w:pPr>
      <w:rPr>
        <w:rFonts w:hint="default"/>
        <w:lang w:val="tr-TR" w:eastAsia="en-US" w:bidi="ar-SA"/>
      </w:rPr>
    </w:lvl>
    <w:lvl w:ilvl="5" w:tplc="F99EAD42">
      <w:numFmt w:val="bullet"/>
      <w:lvlText w:val="•"/>
      <w:lvlJc w:val="left"/>
      <w:pPr>
        <w:ind w:left="4712" w:hanging="356"/>
      </w:pPr>
      <w:rPr>
        <w:rFonts w:hint="default"/>
        <w:lang w:val="tr-TR" w:eastAsia="en-US" w:bidi="ar-SA"/>
      </w:rPr>
    </w:lvl>
    <w:lvl w:ilvl="6" w:tplc="5CE08C76">
      <w:numFmt w:val="bullet"/>
      <w:lvlText w:val="•"/>
      <w:lvlJc w:val="left"/>
      <w:pPr>
        <w:ind w:left="5630" w:hanging="356"/>
      </w:pPr>
      <w:rPr>
        <w:rFonts w:hint="default"/>
        <w:lang w:val="tr-TR" w:eastAsia="en-US" w:bidi="ar-SA"/>
      </w:rPr>
    </w:lvl>
    <w:lvl w:ilvl="7" w:tplc="0882AFB6">
      <w:numFmt w:val="bullet"/>
      <w:lvlText w:val="•"/>
      <w:lvlJc w:val="left"/>
      <w:pPr>
        <w:ind w:left="6548" w:hanging="356"/>
      </w:pPr>
      <w:rPr>
        <w:rFonts w:hint="default"/>
        <w:lang w:val="tr-TR" w:eastAsia="en-US" w:bidi="ar-SA"/>
      </w:rPr>
    </w:lvl>
    <w:lvl w:ilvl="8" w:tplc="8F589C80">
      <w:numFmt w:val="bullet"/>
      <w:lvlText w:val="•"/>
      <w:lvlJc w:val="left"/>
      <w:pPr>
        <w:ind w:left="7467" w:hanging="356"/>
      </w:pPr>
      <w:rPr>
        <w:rFonts w:hint="default"/>
        <w:lang w:val="tr-TR" w:eastAsia="en-US" w:bidi="ar-SA"/>
      </w:rPr>
    </w:lvl>
  </w:abstractNum>
  <w:abstractNum w:abstractNumId="6" w15:restartNumberingAfterBreak="0">
    <w:nsid w:val="6129344A"/>
    <w:multiLevelType w:val="hybridMultilevel"/>
    <w:tmpl w:val="770C6EF0"/>
    <w:lvl w:ilvl="0" w:tplc="A404DCAA">
      <w:start w:val="1"/>
      <w:numFmt w:val="decimal"/>
      <w:lvlText w:val="(%1)"/>
      <w:lvlJc w:val="left"/>
      <w:pPr>
        <w:ind w:left="64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C5"/>
    <w:rsid w:val="00015364"/>
    <w:rsid w:val="00024BBC"/>
    <w:rsid w:val="00024C04"/>
    <w:rsid w:val="00055C39"/>
    <w:rsid w:val="00066666"/>
    <w:rsid w:val="00070C76"/>
    <w:rsid w:val="000713A6"/>
    <w:rsid w:val="00076B72"/>
    <w:rsid w:val="00095C99"/>
    <w:rsid w:val="000A56C2"/>
    <w:rsid w:val="000C6433"/>
    <w:rsid w:val="000D102A"/>
    <w:rsid w:val="000E28BB"/>
    <w:rsid w:val="000E2BB5"/>
    <w:rsid w:val="000E35E8"/>
    <w:rsid w:val="001167D8"/>
    <w:rsid w:val="00130148"/>
    <w:rsid w:val="00136ABF"/>
    <w:rsid w:val="00144644"/>
    <w:rsid w:val="00146BB7"/>
    <w:rsid w:val="00155A2B"/>
    <w:rsid w:val="00172689"/>
    <w:rsid w:val="001846A1"/>
    <w:rsid w:val="0019006A"/>
    <w:rsid w:val="001E22ED"/>
    <w:rsid w:val="001E4AF4"/>
    <w:rsid w:val="00233575"/>
    <w:rsid w:val="0023376B"/>
    <w:rsid w:val="00252D09"/>
    <w:rsid w:val="00274784"/>
    <w:rsid w:val="002809A9"/>
    <w:rsid w:val="002866FF"/>
    <w:rsid w:val="00293187"/>
    <w:rsid w:val="00293392"/>
    <w:rsid w:val="00296A4D"/>
    <w:rsid w:val="002A2434"/>
    <w:rsid w:val="002A275F"/>
    <w:rsid w:val="002A3419"/>
    <w:rsid w:val="002A4E2F"/>
    <w:rsid w:val="002B1BD5"/>
    <w:rsid w:val="002B2199"/>
    <w:rsid w:val="002B511C"/>
    <w:rsid w:val="002D353F"/>
    <w:rsid w:val="002E1A31"/>
    <w:rsid w:val="002E5C11"/>
    <w:rsid w:val="00307058"/>
    <w:rsid w:val="00313311"/>
    <w:rsid w:val="003142EB"/>
    <w:rsid w:val="003300C5"/>
    <w:rsid w:val="00355161"/>
    <w:rsid w:val="00356617"/>
    <w:rsid w:val="0037529E"/>
    <w:rsid w:val="0038198B"/>
    <w:rsid w:val="00382CF4"/>
    <w:rsid w:val="00383E43"/>
    <w:rsid w:val="003B6E66"/>
    <w:rsid w:val="003F61B5"/>
    <w:rsid w:val="00412F8E"/>
    <w:rsid w:val="0042085F"/>
    <w:rsid w:val="00424E6C"/>
    <w:rsid w:val="00442839"/>
    <w:rsid w:val="004740A5"/>
    <w:rsid w:val="00481B64"/>
    <w:rsid w:val="00485696"/>
    <w:rsid w:val="00492795"/>
    <w:rsid w:val="004962C0"/>
    <w:rsid w:val="004A1057"/>
    <w:rsid w:val="004A738A"/>
    <w:rsid w:val="004B2203"/>
    <w:rsid w:val="004B6204"/>
    <w:rsid w:val="004D3B61"/>
    <w:rsid w:val="004E31AD"/>
    <w:rsid w:val="004F5907"/>
    <w:rsid w:val="004F6A6D"/>
    <w:rsid w:val="004F72E5"/>
    <w:rsid w:val="00507432"/>
    <w:rsid w:val="00512A9E"/>
    <w:rsid w:val="005254DF"/>
    <w:rsid w:val="00562106"/>
    <w:rsid w:val="00565274"/>
    <w:rsid w:val="00571CCF"/>
    <w:rsid w:val="00577FEE"/>
    <w:rsid w:val="005975B1"/>
    <w:rsid w:val="005A703B"/>
    <w:rsid w:val="005A7042"/>
    <w:rsid w:val="005C05B7"/>
    <w:rsid w:val="005C3F69"/>
    <w:rsid w:val="005D3393"/>
    <w:rsid w:val="005E0F53"/>
    <w:rsid w:val="00602250"/>
    <w:rsid w:val="00604AE0"/>
    <w:rsid w:val="00605EDF"/>
    <w:rsid w:val="00615373"/>
    <w:rsid w:val="00636F59"/>
    <w:rsid w:val="00645018"/>
    <w:rsid w:val="0065082B"/>
    <w:rsid w:val="00665664"/>
    <w:rsid w:val="00671E87"/>
    <w:rsid w:val="006979BB"/>
    <w:rsid w:val="006B67F4"/>
    <w:rsid w:val="006F22DB"/>
    <w:rsid w:val="006F5F5E"/>
    <w:rsid w:val="00716B76"/>
    <w:rsid w:val="00716EC7"/>
    <w:rsid w:val="00721685"/>
    <w:rsid w:val="00724765"/>
    <w:rsid w:val="0076219E"/>
    <w:rsid w:val="0077094D"/>
    <w:rsid w:val="00771D65"/>
    <w:rsid w:val="0077449F"/>
    <w:rsid w:val="00783443"/>
    <w:rsid w:val="007A72F9"/>
    <w:rsid w:val="007C0216"/>
    <w:rsid w:val="007E691F"/>
    <w:rsid w:val="007F28E8"/>
    <w:rsid w:val="00803131"/>
    <w:rsid w:val="0080444D"/>
    <w:rsid w:val="008108DE"/>
    <w:rsid w:val="00814FD1"/>
    <w:rsid w:val="008429EE"/>
    <w:rsid w:val="008515D1"/>
    <w:rsid w:val="00854752"/>
    <w:rsid w:val="008558BC"/>
    <w:rsid w:val="00872AA6"/>
    <w:rsid w:val="008A15C7"/>
    <w:rsid w:val="008A6130"/>
    <w:rsid w:val="008A672A"/>
    <w:rsid w:val="008B0099"/>
    <w:rsid w:val="008B597E"/>
    <w:rsid w:val="008E4D1D"/>
    <w:rsid w:val="00916C50"/>
    <w:rsid w:val="0092129C"/>
    <w:rsid w:val="00933665"/>
    <w:rsid w:val="00936C53"/>
    <w:rsid w:val="00941222"/>
    <w:rsid w:val="00962EDC"/>
    <w:rsid w:val="00974A68"/>
    <w:rsid w:val="00997F86"/>
    <w:rsid w:val="009A61E7"/>
    <w:rsid w:val="009A67DC"/>
    <w:rsid w:val="009B172B"/>
    <w:rsid w:val="009B3246"/>
    <w:rsid w:val="009B77A9"/>
    <w:rsid w:val="009E702B"/>
    <w:rsid w:val="009F522A"/>
    <w:rsid w:val="00A0520C"/>
    <w:rsid w:val="00A25917"/>
    <w:rsid w:val="00A30A83"/>
    <w:rsid w:val="00A66A1A"/>
    <w:rsid w:val="00A7680E"/>
    <w:rsid w:val="00A92D42"/>
    <w:rsid w:val="00A96690"/>
    <w:rsid w:val="00A966D7"/>
    <w:rsid w:val="00AA1D1B"/>
    <w:rsid w:val="00AC3E70"/>
    <w:rsid w:val="00AD0F44"/>
    <w:rsid w:val="00AD2C19"/>
    <w:rsid w:val="00AD7683"/>
    <w:rsid w:val="00B02935"/>
    <w:rsid w:val="00B1681C"/>
    <w:rsid w:val="00B352B7"/>
    <w:rsid w:val="00B378BB"/>
    <w:rsid w:val="00B4217D"/>
    <w:rsid w:val="00B60623"/>
    <w:rsid w:val="00B941DA"/>
    <w:rsid w:val="00BB7A22"/>
    <w:rsid w:val="00BC0520"/>
    <w:rsid w:val="00BC72D4"/>
    <w:rsid w:val="00BD0E0F"/>
    <w:rsid w:val="00BF5F2C"/>
    <w:rsid w:val="00C005B6"/>
    <w:rsid w:val="00C04EC8"/>
    <w:rsid w:val="00C06962"/>
    <w:rsid w:val="00C06F5A"/>
    <w:rsid w:val="00C17538"/>
    <w:rsid w:val="00C26EE0"/>
    <w:rsid w:val="00C41C00"/>
    <w:rsid w:val="00C47475"/>
    <w:rsid w:val="00C57BFB"/>
    <w:rsid w:val="00C75C91"/>
    <w:rsid w:val="00CC106C"/>
    <w:rsid w:val="00CC3F64"/>
    <w:rsid w:val="00CE23F7"/>
    <w:rsid w:val="00CF4D9F"/>
    <w:rsid w:val="00D00ACF"/>
    <w:rsid w:val="00D22CE9"/>
    <w:rsid w:val="00D30866"/>
    <w:rsid w:val="00D30DC4"/>
    <w:rsid w:val="00D535A3"/>
    <w:rsid w:val="00D559E7"/>
    <w:rsid w:val="00D65DCE"/>
    <w:rsid w:val="00D82F5A"/>
    <w:rsid w:val="00D84211"/>
    <w:rsid w:val="00DA16A9"/>
    <w:rsid w:val="00E14569"/>
    <w:rsid w:val="00E25959"/>
    <w:rsid w:val="00E31EBF"/>
    <w:rsid w:val="00E6372B"/>
    <w:rsid w:val="00E7656E"/>
    <w:rsid w:val="00E910C1"/>
    <w:rsid w:val="00E960F0"/>
    <w:rsid w:val="00EA3E4D"/>
    <w:rsid w:val="00EC3F8D"/>
    <w:rsid w:val="00EC5AA1"/>
    <w:rsid w:val="00EC5AAC"/>
    <w:rsid w:val="00ED0790"/>
    <w:rsid w:val="00ED4FAD"/>
    <w:rsid w:val="00EF4F3F"/>
    <w:rsid w:val="00EF7094"/>
    <w:rsid w:val="00F03B66"/>
    <w:rsid w:val="00F06CFE"/>
    <w:rsid w:val="00F11A56"/>
    <w:rsid w:val="00F1355F"/>
    <w:rsid w:val="00F3079E"/>
    <w:rsid w:val="00F5238D"/>
    <w:rsid w:val="00FA5C88"/>
    <w:rsid w:val="00FA60F4"/>
    <w:rsid w:val="00FC28B5"/>
    <w:rsid w:val="00FD35D6"/>
    <w:rsid w:val="00FF679F"/>
    <w:rsid w:val="5FB46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D9F0"/>
  <w15:docId w15:val="{2157F241-F09A-4535-B6B1-6FB264F0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line="275" w:lineRule="exact"/>
      <w:ind w:left="82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16" w:right="119" w:firstLine="706"/>
      <w:jc w:val="both"/>
    </w:pPr>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A7680E"/>
    <w:rPr>
      <w:sz w:val="16"/>
      <w:szCs w:val="16"/>
    </w:rPr>
  </w:style>
  <w:style w:type="paragraph" w:styleId="AklamaMetni">
    <w:name w:val="annotation text"/>
    <w:basedOn w:val="Normal"/>
    <w:link w:val="AklamaMetniChar"/>
    <w:uiPriority w:val="99"/>
    <w:unhideWhenUsed/>
    <w:rsid w:val="00A7680E"/>
    <w:rPr>
      <w:sz w:val="20"/>
      <w:szCs w:val="20"/>
    </w:rPr>
  </w:style>
  <w:style w:type="character" w:customStyle="1" w:styleId="AklamaMetniChar">
    <w:name w:val="Açıklama Metni Char"/>
    <w:basedOn w:val="VarsaylanParagrafYazTipi"/>
    <w:link w:val="AklamaMetni"/>
    <w:uiPriority w:val="99"/>
    <w:rsid w:val="00A7680E"/>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A7680E"/>
    <w:rPr>
      <w:b/>
      <w:bCs/>
    </w:rPr>
  </w:style>
  <w:style w:type="character" w:customStyle="1" w:styleId="AklamaKonusuChar">
    <w:name w:val="Açıklama Konusu Char"/>
    <w:basedOn w:val="AklamaMetniChar"/>
    <w:link w:val="AklamaKonusu"/>
    <w:uiPriority w:val="99"/>
    <w:semiHidden/>
    <w:rsid w:val="00A7680E"/>
    <w:rPr>
      <w:rFonts w:ascii="Times New Roman" w:eastAsia="Times New Roman" w:hAnsi="Times New Roman" w:cs="Times New Roman"/>
      <w:b/>
      <w:bCs/>
      <w:sz w:val="20"/>
      <w:szCs w:val="20"/>
      <w:lang w:val="en-US"/>
    </w:rPr>
  </w:style>
  <w:style w:type="character" w:styleId="Kpr">
    <w:name w:val="Hyperlink"/>
    <w:basedOn w:val="VarsaylanParagrafYazTipi"/>
    <w:uiPriority w:val="99"/>
    <w:unhideWhenUsed/>
    <w:rsid w:val="00146BB7"/>
    <w:rPr>
      <w:color w:val="0000FF" w:themeColor="hyperlink"/>
      <w:u w:val="single"/>
    </w:rPr>
  </w:style>
  <w:style w:type="character" w:customStyle="1" w:styleId="zmlenmeyenBahsetme1">
    <w:name w:val="Çözümlenmeyen Bahsetme1"/>
    <w:basedOn w:val="VarsaylanParagrafYazTipi"/>
    <w:uiPriority w:val="99"/>
    <w:semiHidden/>
    <w:unhideWhenUsed/>
    <w:rsid w:val="00146BB7"/>
    <w:rPr>
      <w:color w:val="605E5C"/>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pPr>
  </w:style>
  <w:style w:type="paragraph" w:styleId="BalonMetni">
    <w:name w:val="Balloon Text"/>
    <w:basedOn w:val="Normal"/>
    <w:link w:val="BalonMetniChar"/>
    <w:uiPriority w:val="99"/>
    <w:semiHidden/>
    <w:unhideWhenUsed/>
    <w:rsid w:val="00C005B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05B6"/>
    <w:rPr>
      <w:rFonts w:ascii="Segoe UI" w:eastAsia="Times New Roman" w:hAnsi="Segoe UI" w:cs="Segoe UI"/>
      <w:sz w:val="18"/>
      <w:szCs w:val="18"/>
      <w:lang w:val="en-US"/>
    </w:rPr>
  </w:style>
  <w:style w:type="character" w:customStyle="1" w:styleId="GvdeMetniChar">
    <w:name w:val="Gövde Metni Char"/>
    <w:basedOn w:val="VarsaylanParagrafYazTipi"/>
    <w:link w:val="GvdeMetni"/>
    <w:uiPriority w:val="1"/>
    <w:rsid w:val="00E960F0"/>
    <w:rPr>
      <w:rFonts w:ascii="Times New Roman" w:eastAsia="Times New Roman" w:hAnsi="Times New Roman" w:cs="Times New Roman"/>
      <w:sz w:val="24"/>
      <w:szCs w:val="24"/>
      <w:lang w:val="en-US"/>
    </w:rPr>
  </w:style>
  <w:style w:type="character" w:customStyle="1" w:styleId="spelle">
    <w:name w:val="spelle"/>
    <w:basedOn w:val="VarsaylanParagrafYazTipi"/>
    <w:rsid w:val="0037529E"/>
  </w:style>
  <w:style w:type="paragraph" w:styleId="Dzeltme">
    <w:name w:val="Revision"/>
    <w:hidden/>
    <w:uiPriority w:val="99"/>
    <w:semiHidden/>
    <w:rsid w:val="0056527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2923">
      <w:bodyDiv w:val="1"/>
      <w:marLeft w:val="0"/>
      <w:marRight w:val="0"/>
      <w:marTop w:val="0"/>
      <w:marBottom w:val="0"/>
      <w:divBdr>
        <w:top w:val="none" w:sz="0" w:space="0" w:color="auto"/>
        <w:left w:val="none" w:sz="0" w:space="0" w:color="auto"/>
        <w:bottom w:val="none" w:sz="0" w:space="0" w:color="auto"/>
        <w:right w:val="none" w:sz="0" w:space="0" w:color="auto"/>
      </w:divBdr>
    </w:div>
    <w:div w:id="438985381">
      <w:bodyDiv w:val="1"/>
      <w:marLeft w:val="0"/>
      <w:marRight w:val="0"/>
      <w:marTop w:val="0"/>
      <w:marBottom w:val="0"/>
      <w:divBdr>
        <w:top w:val="none" w:sz="0" w:space="0" w:color="auto"/>
        <w:left w:val="none" w:sz="0" w:space="0" w:color="auto"/>
        <w:bottom w:val="none" w:sz="0" w:space="0" w:color="auto"/>
        <w:right w:val="none" w:sz="0" w:space="0" w:color="auto"/>
      </w:divBdr>
    </w:div>
    <w:div w:id="48242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747906-8b6c-4c61-bc0e-ce30eeccfc22">
      <Terms xmlns="http://schemas.microsoft.com/office/infopath/2007/PartnerControls"/>
    </lcf76f155ced4ddcb4097134ff3c332f>
    <TaxCatchAll xmlns="c6507a86-d604-4efd-aea4-d17d37a7df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CA59DE5A5B54DB45D2C650C71F5C3" ma:contentTypeVersion="11" ma:contentTypeDescription="Create a new document." ma:contentTypeScope="" ma:versionID="0cce9575b15e4d7552b9704bc427cec7">
  <xsd:schema xmlns:xsd="http://www.w3.org/2001/XMLSchema" xmlns:xs="http://www.w3.org/2001/XMLSchema" xmlns:p="http://schemas.microsoft.com/office/2006/metadata/properties" xmlns:ns2="e9747906-8b6c-4c61-bc0e-ce30eeccfc22" xmlns:ns3="c6507a86-d604-4efd-aea4-d17d37a7df22" targetNamespace="http://schemas.microsoft.com/office/2006/metadata/properties" ma:root="true" ma:fieldsID="e696e37c17dd96cc9d2d8d804176c543" ns2:_="" ns3:_="">
    <xsd:import namespace="e9747906-8b6c-4c61-bc0e-ce30eeccfc22"/>
    <xsd:import namespace="c6507a86-d604-4efd-aea4-d17d37a7df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7906-8b6c-4c61-bc0e-ce30eeccf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151545-5c10-4a72-bfbb-14a3cba8c76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07a86-d604-4efd-aea4-d17d37a7df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0e83c1-b08f-4271-9c3e-dead75ac0fc1}" ma:internalName="TaxCatchAll" ma:showField="CatchAllData" ma:web="c6507a86-d604-4efd-aea4-d17d37a7d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426FD-5D88-490F-8072-EBCE5E791B06}">
  <ds:schemaRefs>
    <ds:schemaRef ds:uri="http://schemas.microsoft.com/sharepoint/v3/contenttype/forms"/>
  </ds:schemaRefs>
</ds:datastoreItem>
</file>

<file path=customXml/itemProps2.xml><?xml version="1.0" encoding="utf-8"?>
<ds:datastoreItem xmlns:ds="http://schemas.openxmlformats.org/officeDocument/2006/customXml" ds:itemID="{1CADD8F6-FCDB-4AD3-B7F1-17B77BDBB8B7}">
  <ds:schemaRefs>
    <ds:schemaRef ds:uri="http://schemas.microsoft.com/office/2006/metadata/properties"/>
    <ds:schemaRef ds:uri="http://schemas.microsoft.com/office/infopath/2007/PartnerControls"/>
    <ds:schemaRef ds:uri="e9747906-8b6c-4c61-bc0e-ce30eeccfc22"/>
    <ds:schemaRef ds:uri="c6507a86-d604-4efd-aea4-d17d37a7df22"/>
  </ds:schemaRefs>
</ds:datastoreItem>
</file>

<file path=customXml/itemProps3.xml><?xml version="1.0" encoding="utf-8"?>
<ds:datastoreItem xmlns:ds="http://schemas.openxmlformats.org/officeDocument/2006/customXml" ds:itemID="{1E0CE915-435D-490E-9DE6-62194929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7906-8b6c-4c61-bc0e-ce30eeccfc22"/>
    <ds:schemaRef ds:uri="c6507a86-d604-4efd-aea4-d17d37a7d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1697</Words>
  <Characters>9678</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c:creator>
  <cp:lastModifiedBy>Admin</cp:lastModifiedBy>
  <cp:revision>13</cp:revision>
  <dcterms:created xsi:type="dcterms:W3CDTF">2024-08-17T12:04:00Z</dcterms:created>
  <dcterms:modified xsi:type="dcterms:W3CDTF">2024-09-17T06:25:00Z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2024-01-04T00:00:00Z</vt:filetime>
  </property>
  <property fmtid="{D5CDD505-2E9C-101B-9397-08002B2CF9AE}" pid="5" name="ContentTypeId">
    <vt:lpwstr>0x01010017ECA59DE5A5B54DB45D2C650C71F5C3</vt:lpwstr>
  </property>
  <property fmtid="{D5CDD505-2E9C-101B-9397-08002B2CF9AE}" pid="6" name="MediaServiceImageTags">
    <vt:lpwstr/>
  </property>
</Properties>
</file>